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52967" w14:textId="77777777" w:rsidR="003D3F40" w:rsidRDefault="003D3F40" w:rsidP="00171598">
      <w:pPr>
        <w:ind w:right="-589"/>
        <w:rPr>
          <w:b/>
          <w:color w:val="4F6228" w:themeColor="accent3" w:themeShade="80"/>
          <w:sz w:val="24"/>
          <w:szCs w:val="24"/>
          <w:highlight w:val="lightGray"/>
        </w:rPr>
      </w:pPr>
    </w:p>
    <w:tbl>
      <w:tblPr>
        <w:tblStyle w:val="TableGrid"/>
        <w:tblW w:w="22397" w:type="dxa"/>
        <w:tblInd w:w="-601" w:type="dxa"/>
        <w:tblLook w:val="04A0" w:firstRow="1" w:lastRow="0" w:firstColumn="1" w:lastColumn="0" w:noHBand="0" w:noVBand="1"/>
      </w:tblPr>
      <w:tblGrid>
        <w:gridCol w:w="6946"/>
        <w:gridCol w:w="6096"/>
        <w:gridCol w:w="4536"/>
        <w:gridCol w:w="4819"/>
      </w:tblGrid>
      <w:tr w:rsidR="0001550E" w14:paraId="092E451C" w14:textId="77777777" w:rsidTr="007630A0">
        <w:tc>
          <w:tcPr>
            <w:tcW w:w="6946" w:type="dxa"/>
            <w:tcBorders>
              <w:top w:val="nil"/>
              <w:left w:val="nil"/>
              <w:bottom w:val="nil"/>
              <w:right w:val="single" w:sz="4" w:space="0" w:color="auto"/>
            </w:tcBorders>
          </w:tcPr>
          <w:p w14:paraId="5D50D041" w14:textId="77777777" w:rsidR="0001550E" w:rsidRDefault="0001550E" w:rsidP="003D3F40">
            <w:pPr>
              <w:ind w:right="-589" w:firstLine="34"/>
              <w:rPr>
                <w:b/>
                <w:color w:val="4F6228" w:themeColor="accent3" w:themeShade="80"/>
                <w:sz w:val="24"/>
                <w:szCs w:val="24"/>
                <w:highlight w:val="lightGray"/>
              </w:rPr>
            </w:pPr>
          </w:p>
          <w:p w14:paraId="00522C40" w14:textId="77777777" w:rsidR="0001550E" w:rsidRDefault="0001550E" w:rsidP="003D3F40">
            <w:pPr>
              <w:ind w:right="-589" w:firstLine="34"/>
              <w:rPr>
                <w:b/>
                <w:color w:val="4F6228" w:themeColor="accent3" w:themeShade="80"/>
                <w:sz w:val="24"/>
                <w:szCs w:val="24"/>
                <w:highlight w:val="lightGray"/>
              </w:rPr>
            </w:pPr>
          </w:p>
          <w:p w14:paraId="5D43C9B5" w14:textId="35D74AC4" w:rsidR="0001550E" w:rsidRPr="00CC615B" w:rsidRDefault="0001550E" w:rsidP="003D3F40">
            <w:pPr>
              <w:ind w:right="-589" w:firstLine="34"/>
              <w:rPr>
                <w:b/>
                <w:color w:val="4F6228" w:themeColor="accent3" w:themeShade="80"/>
                <w:sz w:val="28"/>
                <w:szCs w:val="28"/>
              </w:rPr>
            </w:pPr>
            <w:r w:rsidRPr="00E67E9B">
              <w:rPr>
                <w:b/>
                <w:color w:val="4F6228" w:themeColor="accent3" w:themeShade="80"/>
                <w:sz w:val="24"/>
                <w:szCs w:val="24"/>
                <w:highlight w:val="lightGray"/>
              </w:rPr>
              <w:t>[</w:t>
            </w:r>
            <w:r w:rsidR="00994ECF">
              <w:rPr>
                <w:b/>
                <w:color w:val="4F6228" w:themeColor="accent3" w:themeShade="80"/>
                <w:sz w:val="28"/>
                <w:szCs w:val="28"/>
                <w:highlight w:val="lightGray"/>
              </w:rPr>
              <w:t>4735, Andrew Augerinos</w:t>
            </w:r>
            <w:r w:rsidRPr="00CC615B">
              <w:rPr>
                <w:b/>
                <w:color w:val="4F6228" w:themeColor="accent3" w:themeShade="80"/>
                <w:sz w:val="28"/>
                <w:szCs w:val="28"/>
                <w:highlight w:val="lightGray"/>
              </w:rPr>
              <w:t>]</w:t>
            </w:r>
            <w:r w:rsidR="009114B9">
              <w:rPr>
                <w:b/>
                <w:color w:val="4F6228" w:themeColor="accent3" w:themeShade="80"/>
                <w:sz w:val="28"/>
                <w:szCs w:val="28"/>
              </w:rPr>
              <w:t xml:space="preserve"> Strategic Plan 2017</w:t>
            </w:r>
            <w:r w:rsidR="00AF045A">
              <w:rPr>
                <w:b/>
                <w:color w:val="4F6228" w:themeColor="accent3" w:themeShade="80"/>
                <w:sz w:val="28"/>
                <w:szCs w:val="28"/>
              </w:rPr>
              <w:t>–</w:t>
            </w:r>
            <w:r w:rsidRPr="00CC615B">
              <w:rPr>
                <w:b/>
                <w:color w:val="4F6228" w:themeColor="accent3" w:themeShade="80"/>
                <w:sz w:val="28"/>
                <w:szCs w:val="28"/>
              </w:rPr>
              <w:t>20</w:t>
            </w:r>
            <w:r w:rsidR="009114B9">
              <w:rPr>
                <w:b/>
                <w:color w:val="4F6228" w:themeColor="accent3" w:themeShade="80"/>
                <w:sz w:val="28"/>
                <w:szCs w:val="28"/>
              </w:rPr>
              <w:t>20</w:t>
            </w:r>
          </w:p>
          <w:p w14:paraId="5443513F" w14:textId="77777777" w:rsidR="0001550E" w:rsidRDefault="0001550E" w:rsidP="00E23FC3">
            <w:pPr>
              <w:ind w:right="-589"/>
              <w:rPr>
                <w:b/>
                <w:color w:val="4F6228" w:themeColor="accent3" w:themeShade="80"/>
                <w:sz w:val="24"/>
                <w:szCs w:val="24"/>
                <w:highlight w:val="lightGray"/>
              </w:rPr>
            </w:pPr>
          </w:p>
        </w:tc>
        <w:tc>
          <w:tcPr>
            <w:tcW w:w="6096" w:type="dxa"/>
            <w:tcBorders>
              <w:left w:val="single" w:sz="4" w:space="0" w:color="auto"/>
              <w:right w:val="nil"/>
            </w:tcBorders>
          </w:tcPr>
          <w:p w14:paraId="0104ECDB" w14:textId="77777777" w:rsidR="0001550E" w:rsidRPr="00300E45" w:rsidRDefault="0001550E" w:rsidP="003D3F40">
            <w:pPr>
              <w:ind w:right="-52"/>
              <w:rPr>
                <w:b/>
                <w:sz w:val="18"/>
                <w:szCs w:val="18"/>
              </w:rPr>
            </w:pPr>
            <w:r>
              <w:rPr>
                <w:b/>
                <w:sz w:val="18"/>
                <w:szCs w:val="18"/>
              </w:rPr>
              <w:t>E</w:t>
            </w:r>
            <w:r w:rsidRPr="00300E45">
              <w:rPr>
                <w:b/>
                <w:sz w:val="18"/>
                <w:szCs w:val="18"/>
              </w:rPr>
              <w:t>ndorsement</w:t>
            </w:r>
          </w:p>
          <w:p w14:paraId="34FF363F" w14:textId="5BEDB5F6" w:rsidR="0001550E" w:rsidRDefault="00994ECF" w:rsidP="003D3F40">
            <w:pPr>
              <w:tabs>
                <w:tab w:val="left" w:pos="993"/>
                <w:tab w:val="left" w:leader="dot" w:pos="3686"/>
                <w:tab w:val="left" w:pos="3828"/>
                <w:tab w:val="left" w:pos="5245"/>
                <w:tab w:val="left" w:pos="5954"/>
                <w:tab w:val="left" w:leader="dot" w:pos="9356"/>
                <w:tab w:val="left" w:pos="9639"/>
                <w:tab w:val="left" w:pos="11199"/>
              </w:tabs>
              <w:spacing w:line="360" w:lineRule="auto"/>
              <w:ind w:right="-51"/>
              <w:rPr>
                <w:sz w:val="18"/>
                <w:szCs w:val="18"/>
              </w:rPr>
            </w:pPr>
            <w:r>
              <w:rPr>
                <w:sz w:val="18"/>
                <w:szCs w:val="18"/>
              </w:rPr>
              <w:t>Principal:</w:t>
            </w:r>
            <w:r>
              <w:rPr>
                <w:sz w:val="18"/>
                <w:szCs w:val="18"/>
              </w:rPr>
              <w:tab/>
            </w:r>
            <w:r>
              <w:rPr>
                <w:sz w:val="18"/>
                <w:szCs w:val="18"/>
                <w:highlight w:val="lightGray"/>
              </w:rPr>
              <w:t>[Andrew Augerinos</w:t>
            </w:r>
            <w:r w:rsidR="0001550E" w:rsidRPr="00907788">
              <w:rPr>
                <w:sz w:val="18"/>
                <w:szCs w:val="18"/>
                <w:highlight w:val="lightGray"/>
              </w:rPr>
              <w:t>]</w:t>
            </w:r>
            <w:r w:rsidR="0001550E" w:rsidRPr="009C1955">
              <w:rPr>
                <w:sz w:val="18"/>
                <w:szCs w:val="18"/>
              </w:rPr>
              <w:tab/>
            </w:r>
            <w:r>
              <w:rPr>
                <w:sz w:val="18"/>
                <w:szCs w:val="18"/>
                <w:highlight w:val="lightGray"/>
              </w:rPr>
              <w:t>[March 2017</w:t>
            </w:r>
            <w:r w:rsidR="0001550E" w:rsidRPr="00907788">
              <w:rPr>
                <w:sz w:val="18"/>
                <w:szCs w:val="18"/>
                <w:highlight w:val="lightGray"/>
              </w:rPr>
              <w:t>]</w:t>
            </w:r>
          </w:p>
          <w:p w14:paraId="3DD0DA91" w14:textId="3F8037DE" w:rsidR="0001550E" w:rsidRPr="00300E45" w:rsidRDefault="0001550E" w:rsidP="003D3F40">
            <w:pPr>
              <w:tabs>
                <w:tab w:val="left" w:pos="993"/>
                <w:tab w:val="left" w:leader="dot" w:pos="3686"/>
                <w:tab w:val="left" w:pos="3828"/>
                <w:tab w:val="left" w:pos="5245"/>
                <w:tab w:val="left" w:pos="5954"/>
                <w:tab w:val="left" w:leader="dot" w:pos="9356"/>
                <w:tab w:val="left" w:pos="9639"/>
                <w:tab w:val="left" w:pos="11199"/>
              </w:tabs>
              <w:spacing w:line="360" w:lineRule="auto"/>
              <w:ind w:right="-51"/>
              <w:rPr>
                <w:sz w:val="18"/>
                <w:szCs w:val="18"/>
              </w:rPr>
            </w:pPr>
            <w:r w:rsidRPr="00300E45">
              <w:rPr>
                <w:sz w:val="18"/>
                <w:szCs w:val="18"/>
              </w:rPr>
              <w:t xml:space="preserve">School </w:t>
            </w:r>
            <w:r>
              <w:rPr>
                <w:sz w:val="18"/>
                <w:szCs w:val="18"/>
              </w:rPr>
              <w:t>c</w:t>
            </w:r>
            <w:r w:rsidRPr="00300E45">
              <w:rPr>
                <w:sz w:val="18"/>
                <w:szCs w:val="18"/>
              </w:rPr>
              <w:t>ouncil:</w:t>
            </w:r>
            <w:r w:rsidR="00994ECF">
              <w:rPr>
                <w:sz w:val="18"/>
                <w:szCs w:val="18"/>
                <w:highlight w:val="lightGray"/>
              </w:rPr>
              <w:t>[Michael Neaves</w:t>
            </w:r>
            <w:r w:rsidRPr="00907788">
              <w:rPr>
                <w:sz w:val="18"/>
                <w:szCs w:val="18"/>
                <w:highlight w:val="lightGray"/>
              </w:rPr>
              <w:t>]</w:t>
            </w:r>
            <w:r>
              <w:rPr>
                <w:sz w:val="18"/>
                <w:szCs w:val="18"/>
              </w:rPr>
              <w:tab/>
            </w:r>
            <w:r w:rsidRPr="00907788">
              <w:rPr>
                <w:sz w:val="18"/>
                <w:szCs w:val="18"/>
                <w:highlight w:val="lightGray"/>
              </w:rPr>
              <w:t>[</w:t>
            </w:r>
            <w:r w:rsidR="00994ECF">
              <w:rPr>
                <w:sz w:val="18"/>
                <w:szCs w:val="18"/>
                <w:highlight w:val="lightGray"/>
              </w:rPr>
              <w:t>March 2017</w:t>
            </w:r>
            <w:r w:rsidRPr="00907788">
              <w:rPr>
                <w:sz w:val="18"/>
                <w:szCs w:val="18"/>
                <w:highlight w:val="lightGray"/>
              </w:rPr>
              <w:t>]</w:t>
            </w:r>
          </w:p>
          <w:p w14:paraId="105DBD31" w14:textId="77777777" w:rsidR="0001550E" w:rsidRDefault="0001550E" w:rsidP="003D3F40">
            <w:pPr>
              <w:tabs>
                <w:tab w:val="left" w:pos="5954"/>
                <w:tab w:val="left" w:pos="7371"/>
                <w:tab w:val="left" w:leader="dot" w:pos="9639"/>
                <w:tab w:val="left" w:pos="11199"/>
              </w:tabs>
              <w:ind w:right="-51"/>
              <w:rPr>
                <w:sz w:val="18"/>
                <w:szCs w:val="18"/>
              </w:rPr>
            </w:pPr>
            <w:r w:rsidRPr="00300E45">
              <w:rPr>
                <w:sz w:val="18"/>
                <w:szCs w:val="18"/>
              </w:rPr>
              <w:t xml:space="preserve">Delegate of the </w:t>
            </w:r>
          </w:p>
          <w:p w14:paraId="3590C49D" w14:textId="6B785689" w:rsidR="0001550E" w:rsidRDefault="0001550E" w:rsidP="003D3F40">
            <w:pPr>
              <w:tabs>
                <w:tab w:val="left" w:pos="993"/>
                <w:tab w:val="left" w:leader="dot" w:pos="3686"/>
                <w:tab w:val="left" w:pos="3828"/>
                <w:tab w:val="left" w:pos="5245"/>
                <w:tab w:val="left" w:pos="5954"/>
              </w:tabs>
              <w:spacing w:line="360" w:lineRule="auto"/>
              <w:ind w:right="-51"/>
              <w:rPr>
                <w:b/>
                <w:color w:val="4F6228" w:themeColor="accent3" w:themeShade="80"/>
                <w:sz w:val="24"/>
                <w:szCs w:val="24"/>
                <w:highlight w:val="lightGray"/>
              </w:rPr>
            </w:pPr>
            <w:r w:rsidRPr="00300E45">
              <w:rPr>
                <w:sz w:val="18"/>
                <w:szCs w:val="18"/>
              </w:rPr>
              <w:t>Secretary:</w:t>
            </w:r>
            <w:r w:rsidRPr="00300E45">
              <w:rPr>
                <w:sz w:val="18"/>
                <w:szCs w:val="18"/>
              </w:rPr>
              <w:tab/>
            </w:r>
            <w:r>
              <w:rPr>
                <w:sz w:val="18"/>
                <w:szCs w:val="18"/>
              </w:rPr>
              <w:tab/>
            </w:r>
            <w:r>
              <w:rPr>
                <w:sz w:val="18"/>
                <w:szCs w:val="18"/>
              </w:rPr>
              <w:tab/>
            </w:r>
            <w:r w:rsidRPr="00907788">
              <w:rPr>
                <w:sz w:val="18"/>
                <w:szCs w:val="18"/>
                <w:highlight w:val="lightGray"/>
              </w:rPr>
              <w:t>[name]</w:t>
            </w:r>
            <w:r>
              <w:rPr>
                <w:sz w:val="18"/>
                <w:szCs w:val="18"/>
              </w:rPr>
              <w:tab/>
            </w:r>
            <w:r w:rsidRPr="00907788">
              <w:rPr>
                <w:sz w:val="18"/>
                <w:szCs w:val="18"/>
                <w:highlight w:val="lightGray"/>
              </w:rPr>
              <w:t>[date]</w:t>
            </w:r>
            <w:r>
              <w:rPr>
                <w:sz w:val="18"/>
                <w:szCs w:val="18"/>
              </w:rPr>
              <w:t xml:space="preserve">   </w:t>
            </w:r>
          </w:p>
        </w:tc>
        <w:tc>
          <w:tcPr>
            <w:tcW w:w="4536" w:type="dxa"/>
            <w:tcBorders>
              <w:left w:val="nil"/>
              <w:right w:val="nil"/>
            </w:tcBorders>
          </w:tcPr>
          <w:p w14:paraId="333F1444" w14:textId="39A6728B" w:rsidR="0001550E" w:rsidRPr="000940D9" w:rsidRDefault="0001550E" w:rsidP="0001550E">
            <w:pPr>
              <w:ind w:right="-52"/>
              <w:rPr>
                <w:sz w:val="18"/>
                <w:szCs w:val="18"/>
              </w:rPr>
            </w:pPr>
            <w:r>
              <w:rPr>
                <w:b/>
                <w:sz w:val="18"/>
                <w:szCs w:val="18"/>
              </w:rPr>
              <w:t>Re-E</w:t>
            </w:r>
            <w:r w:rsidRPr="00300E45">
              <w:rPr>
                <w:b/>
                <w:sz w:val="18"/>
                <w:szCs w:val="18"/>
              </w:rPr>
              <w:t>ndorsement</w:t>
            </w:r>
            <w:r w:rsidR="004E7450">
              <w:rPr>
                <w:b/>
                <w:sz w:val="18"/>
                <w:szCs w:val="18"/>
              </w:rPr>
              <w:t xml:space="preserve"> </w:t>
            </w:r>
            <w:r w:rsidRPr="000940D9">
              <w:rPr>
                <w:sz w:val="18"/>
                <w:szCs w:val="18"/>
              </w:rPr>
              <w:t>(if a Goal, KIS or Target is change</w:t>
            </w:r>
            <w:r>
              <w:rPr>
                <w:sz w:val="18"/>
                <w:szCs w:val="18"/>
              </w:rPr>
              <w:t>d</w:t>
            </w:r>
            <w:r w:rsidRPr="000940D9">
              <w:rPr>
                <w:sz w:val="18"/>
                <w:szCs w:val="18"/>
              </w:rPr>
              <w:t>)</w:t>
            </w:r>
          </w:p>
          <w:p w14:paraId="32CEF18F" w14:textId="16EBE3D6" w:rsidR="0001550E"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0001550E" w:rsidRPr="00907788">
              <w:rPr>
                <w:sz w:val="18"/>
                <w:szCs w:val="18"/>
                <w:highlight w:val="lightGray"/>
              </w:rPr>
              <w:t>[name]</w:t>
            </w:r>
            <w:r w:rsidR="0001550E" w:rsidRPr="009C1955">
              <w:rPr>
                <w:sz w:val="18"/>
                <w:szCs w:val="18"/>
              </w:rPr>
              <w:tab/>
            </w:r>
            <w:r w:rsidR="0001550E" w:rsidRPr="00907788">
              <w:rPr>
                <w:sz w:val="18"/>
                <w:szCs w:val="18"/>
                <w:highlight w:val="lightGray"/>
              </w:rPr>
              <w:t>[date]</w:t>
            </w:r>
          </w:p>
          <w:p w14:paraId="738C3EE2"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5AE3FE25" w14:textId="77777777" w:rsidR="007630A0" w:rsidRDefault="007630A0" w:rsidP="0001550E">
            <w:pPr>
              <w:tabs>
                <w:tab w:val="left" w:pos="5954"/>
                <w:tab w:val="left" w:pos="7371"/>
                <w:tab w:val="left" w:leader="dot" w:pos="9639"/>
                <w:tab w:val="left" w:pos="11199"/>
              </w:tabs>
              <w:ind w:right="-51"/>
              <w:rPr>
                <w:sz w:val="18"/>
                <w:szCs w:val="18"/>
              </w:rPr>
            </w:pPr>
          </w:p>
          <w:p w14:paraId="1A0C2A99" w14:textId="45AB7650" w:rsidR="0001550E" w:rsidRPr="007630A0" w:rsidRDefault="007630A0" w:rsidP="007630A0">
            <w:pPr>
              <w:tabs>
                <w:tab w:val="left" w:pos="993"/>
                <w:tab w:val="left" w:leader="dot" w:pos="3686"/>
                <w:tab w:val="left" w:pos="3828"/>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tc>
        <w:tc>
          <w:tcPr>
            <w:tcW w:w="4819" w:type="dxa"/>
            <w:tcBorders>
              <w:left w:val="nil"/>
            </w:tcBorders>
          </w:tcPr>
          <w:p w14:paraId="3F452CE0" w14:textId="18064138" w:rsidR="0001550E" w:rsidRDefault="0001550E" w:rsidP="003D3F40">
            <w:pPr>
              <w:ind w:right="-52"/>
              <w:rPr>
                <w:b/>
                <w:sz w:val="18"/>
                <w:szCs w:val="18"/>
              </w:rPr>
            </w:pPr>
            <w:r>
              <w:rPr>
                <w:b/>
                <w:sz w:val="18"/>
                <w:szCs w:val="18"/>
              </w:rPr>
              <w:t>Re-e</w:t>
            </w:r>
            <w:r w:rsidRPr="00300E45">
              <w:rPr>
                <w:b/>
                <w:sz w:val="18"/>
                <w:szCs w:val="18"/>
              </w:rPr>
              <w:t>ndorsement</w:t>
            </w:r>
            <w:r w:rsidR="004E7450">
              <w:rPr>
                <w:b/>
                <w:sz w:val="18"/>
                <w:szCs w:val="18"/>
              </w:rPr>
              <w:t xml:space="preserve"> </w:t>
            </w:r>
            <w:r w:rsidR="007630A0" w:rsidRPr="000940D9">
              <w:rPr>
                <w:sz w:val="18"/>
                <w:szCs w:val="18"/>
              </w:rPr>
              <w:t>(if a Goal, KIS or Target is change</w:t>
            </w:r>
            <w:r w:rsidR="007630A0">
              <w:rPr>
                <w:sz w:val="18"/>
                <w:szCs w:val="18"/>
              </w:rPr>
              <w:t>d</w:t>
            </w:r>
            <w:r w:rsidR="007630A0" w:rsidRPr="000940D9">
              <w:rPr>
                <w:sz w:val="18"/>
                <w:szCs w:val="18"/>
              </w:rPr>
              <w:t>)</w:t>
            </w:r>
          </w:p>
          <w:p w14:paraId="27C6ADD2"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0C070764"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04B3405A" w14:textId="77777777" w:rsidR="007630A0" w:rsidRDefault="007630A0" w:rsidP="007630A0">
            <w:pPr>
              <w:tabs>
                <w:tab w:val="left" w:pos="5954"/>
                <w:tab w:val="left" w:pos="7371"/>
                <w:tab w:val="left" w:leader="dot" w:pos="9639"/>
                <w:tab w:val="left" w:pos="11199"/>
              </w:tabs>
              <w:ind w:right="-51"/>
              <w:rPr>
                <w:sz w:val="18"/>
                <w:szCs w:val="18"/>
              </w:rPr>
            </w:pPr>
          </w:p>
          <w:p w14:paraId="0DD39600" w14:textId="6BB878EF" w:rsidR="0001550E" w:rsidRDefault="007630A0" w:rsidP="007630A0">
            <w:pPr>
              <w:tabs>
                <w:tab w:val="left" w:pos="993"/>
                <w:tab w:val="left" w:leader="dot" w:pos="3686"/>
                <w:tab w:val="left" w:pos="3828"/>
                <w:tab w:val="left" w:pos="5245"/>
                <w:tab w:val="left" w:pos="5954"/>
                <w:tab w:val="left" w:leader="dot" w:pos="9356"/>
                <w:tab w:val="left" w:pos="9639"/>
                <w:tab w:val="left" w:pos="11199"/>
              </w:tabs>
              <w:ind w:right="-51"/>
              <w:rPr>
                <w:b/>
                <w:color w:val="4F6228" w:themeColor="accent3" w:themeShade="80"/>
                <w:sz w:val="24"/>
                <w:szCs w:val="24"/>
                <w:highlight w:val="lightGray"/>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tc>
      </w:tr>
    </w:tbl>
    <w:p w14:paraId="63C066B6" w14:textId="77777777" w:rsidR="000940D9" w:rsidRDefault="000940D9" w:rsidP="00C57A73">
      <w:pPr>
        <w:spacing w:after="120"/>
      </w:pPr>
    </w:p>
    <w:tbl>
      <w:tblPr>
        <w:tblStyle w:val="TableGrid"/>
        <w:tblW w:w="22539" w:type="dxa"/>
        <w:tblInd w:w="-743" w:type="dxa"/>
        <w:tblLook w:val="04A0" w:firstRow="1" w:lastRow="0" w:firstColumn="1" w:lastColumn="0" w:noHBand="0" w:noVBand="1"/>
      </w:tblPr>
      <w:tblGrid>
        <w:gridCol w:w="3686"/>
        <w:gridCol w:w="4678"/>
        <w:gridCol w:w="6946"/>
        <w:gridCol w:w="7229"/>
      </w:tblGrid>
      <w:tr w:rsidR="00B85BE6" w14:paraId="6C64BF12" w14:textId="77777777" w:rsidTr="00367C8D">
        <w:tc>
          <w:tcPr>
            <w:tcW w:w="3686" w:type="dxa"/>
            <w:shd w:val="clear" w:color="auto" w:fill="C2D69B" w:themeFill="accent3" w:themeFillTint="99"/>
          </w:tcPr>
          <w:p w14:paraId="40E92809" w14:textId="2B0783E9" w:rsidR="00B85BE6" w:rsidRDefault="00B85BE6" w:rsidP="00B85BE6">
            <w:pPr>
              <w:spacing w:before="120"/>
              <w:rPr>
                <w:b/>
                <w:sz w:val="18"/>
                <w:szCs w:val="18"/>
              </w:rPr>
            </w:pPr>
            <w:r>
              <w:rPr>
                <w:b/>
                <w:sz w:val="18"/>
                <w:szCs w:val="18"/>
              </w:rPr>
              <w:t>School vision</w:t>
            </w:r>
          </w:p>
        </w:tc>
        <w:tc>
          <w:tcPr>
            <w:tcW w:w="4678" w:type="dxa"/>
            <w:shd w:val="clear" w:color="auto" w:fill="C2D69B" w:themeFill="accent3" w:themeFillTint="99"/>
          </w:tcPr>
          <w:p w14:paraId="54238858" w14:textId="1434D5CE" w:rsidR="00B85BE6" w:rsidRDefault="00B85BE6" w:rsidP="00B85BE6">
            <w:pPr>
              <w:spacing w:before="120"/>
              <w:rPr>
                <w:b/>
                <w:sz w:val="18"/>
                <w:szCs w:val="18"/>
              </w:rPr>
            </w:pPr>
            <w:r>
              <w:rPr>
                <w:b/>
                <w:sz w:val="18"/>
                <w:szCs w:val="18"/>
              </w:rPr>
              <w:t>School values</w:t>
            </w:r>
          </w:p>
        </w:tc>
        <w:tc>
          <w:tcPr>
            <w:tcW w:w="6946" w:type="dxa"/>
            <w:shd w:val="clear" w:color="auto" w:fill="C2D69B" w:themeFill="accent3" w:themeFillTint="99"/>
          </w:tcPr>
          <w:p w14:paraId="35B2B76A" w14:textId="424E56C4" w:rsidR="00B85BE6" w:rsidRPr="00907788" w:rsidRDefault="006569E2" w:rsidP="00B85BE6">
            <w:pPr>
              <w:spacing w:before="120"/>
              <w:rPr>
                <w:b/>
                <w:sz w:val="18"/>
                <w:szCs w:val="18"/>
              </w:rPr>
            </w:pPr>
            <w:r>
              <w:rPr>
                <w:b/>
                <w:sz w:val="18"/>
                <w:szCs w:val="18"/>
              </w:rPr>
              <w:t>Context and challenges</w:t>
            </w:r>
          </w:p>
          <w:p w14:paraId="3466307B" w14:textId="70531207" w:rsidR="00B85BE6" w:rsidRDefault="00B85BE6" w:rsidP="00B85BE6">
            <w:pPr>
              <w:spacing w:before="120"/>
              <w:rPr>
                <w:b/>
                <w:sz w:val="18"/>
                <w:szCs w:val="18"/>
              </w:rPr>
            </w:pPr>
          </w:p>
        </w:tc>
        <w:tc>
          <w:tcPr>
            <w:tcW w:w="7229" w:type="dxa"/>
            <w:shd w:val="clear" w:color="auto" w:fill="C2D69B" w:themeFill="accent3" w:themeFillTint="99"/>
          </w:tcPr>
          <w:p w14:paraId="369EBA9A" w14:textId="7E7363B5" w:rsidR="00B85BE6" w:rsidRPr="00907788" w:rsidRDefault="006569E2" w:rsidP="00665F3B">
            <w:pPr>
              <w:spacing w:before="120"/>
              <w:ind w:right="-108"/>
              <w:rPr>
                <w:b/>
                <w:sz w:val="18"/>
                <w:szCs w:val="18"/>
              </w:rPr>
            </w:pPr>
            <w:r>
              <w:rPr>
                <w:b/>
                <w:sz w:val="18"/>
                <w:szCs w:val="18"/>
              </w:rPr>
              <w:t xml:space="preserve">Intent, </w:t>
            </w:r>
            <w:r w:rsidR="003A73ED">
              <w:rPr>
                <w:b/>
                <w:sz w:val="18"/>
                <w:szCs w:val="18"/>
              </w:rPr>
              <w:t xml:space="preserve">rationale and </w:t>
            </w:r>
            <w:r>
              <w:rPr>
                <w:b/>
                <w:sz w:val="18"/>
                <w:szCs w:val="18"/>
              </w:rPr>
              <w:t>focus</w:t>
            </w:r>
          </w:p>
          <w:p w14:paraId="710AC9D5" w14:textId="4E2B7CE3" w:rsidR="00B85BE6" w:rsidRDefault="00B85BE6" w:rsidP="00B85BE6">
            <w:pPr>
              <w:spacing w:before="120"/>
              <w:rPr>
                <w:b/>
                <w:sz w:val="18"/>
                <w:szCs w:val="18"/>
              </w:rPr>
            </w:pPr>
          </w:p>
        </w:tc>
      </w:tr>
      <w:tr w:rsidR="00B85BE6" w14:paraId="0638071A" w14:textId="77777777" w:rsidTr="00367C8D">
        <w:trPr>
          <w:trHeight w:val="220"/>
        </w:trPr>
        <w:tc>
          <w:tcPr>
            <w:tcW w:w="3686" w:type="dxa"/>
            <w:vMerge w:val="restart"/>
          </w:tcPr>
          <w:p w14:paraId="3F387583" w14:textId="0457401B" w:rsidR="006B3AF2" w:rsidRPr="006B3AF2" w:rsidRDefault="006B3AF2" w:rsidP="00171598">
            <w:pPr>
              <w:spacing w:before="120"/>
              <w:rPr>
                <w:rFonts w:ascii="Arial" w:hAnsi="Arial" w:cs="Arial"/>
                <w:sz w:val="18"/>
                <w:szCs w:val="18"/>
              </w:rPr>
            </w:pPr>
            <w:r w:rsidRPr="006B3AF2">
              <w:rPr>
                <w:rFonts w:ascii="Arial" w:hAnsi="Arial" w:cs="Arial"/>
                <w:sz w:val="18"/>
                <w:szCs w:val="18"/>
              </w:rPr>
              <w:t>Our school vision is:</w:t>
            </w:r>
          </w:p>
          <w:p w14:paraId="7A49AF63" w14:textId="77777777" w:rsidR="006B3AF2" w:rsidRPr="006B3AF2" w:rsidRDefault="006B3AF2" w:rsidP="006B3AF2">
            <w:pPr>
              <w:rPr>
                <w:rFonts w:ascii="Arial" w:hAnsi="Arial" w:cs="Arial"/>
                <w:sz w:val="18"/>
                <w:szCs w:val="18"/>
              </w:rPr>
            </w:pPr>
          </w:p>
          <w:p w14:paraId="74010485" w14:textId="529F4B49" w:rsidR="006B3AF2" w:rsidRPr="006B3AF2" w:rsidRDefault="006B3AF2" w:rsidP="006B3AF2">
            <w:pPr>
              <w:rPr>
                <w:rFonts w:ascii="Arial" w:hAnsi="Arial" w:cs="Arial"/>
                <w:sz w:val="18"/>
                <w:szCs w:val="18"/>
              </w:rPr>
            </w:pPr>
            <w:r w:rsidRPr="006B3AF2">
              <w:rPr>
                <w:rFonts w:ascii="Arial" w:hAnsi="Arial" w:cs="Arial"/>
                <w:sz w:val="18"/>
                <w:szCs w:val="18"/>
              </w:rPr>
              <w:t>“</w:t>
            </w:r>
            <w:r w:rsidRPr="006B3AF2">
              <w:rPr>
                <w:rFonts w:ascii="Arial" w:hAnsi="Arial" w:cs="Arial"/>
                <w:i/>
                <w:sz w:val="18"/>
                <w:szCs w:val="18"/>
              </w:rPr>
              <w:t>To be a vibrant learning community with high expectations, that provide a respectful, cooperative and caring environment which ma</w:t>
            </w:r>
            <w:r w:rsidR="00171598">
              <w:rPr>
                <w:rFonts w:ascii="Arial" w:hAnsi="Arial" w:cs="Arial"/>
                <w:i/>
                <w:sz w:val="18"/>
                <w:szCs w:val="18"/>
              </w:rPr>
              <w:t>ximizes learning, personal well</w:t>
            </w:r>
            <w:r w:rsidRPr="006B3AF2">
              <w:rPr>
                <w:rFonts w:ascii="Arial" w:hAnsi="Arial" w:cs="Arial"/>
                <w:i/>
                <w:sz w:val="18"/>
                <w:szCs w:val="18"/>
              </w:rPr>
              <w:t>being and growth for all students in our ever-changing world</w:t>
            </w:r>
            <w:r w:rsidRPr="006B3AF2">
              <w:rPr>
                <w:rFonts w:ascii="Arial" w:hAnsi="Arial" w:cs="Arial"/>
                <w:sz w:val="18"/>
                <w:szCs w:val="18"/>
              </w:rPr>
              <w:t>.”</w:t>
            </w:r>
          </w:p>
          <w:p w14:paraId="77DA5622" w14:textId="77777777" w:rsidR="006B3AF2" w:rsidRPr="006B3AF2" w:rsidRDefault="006B3AF2" w:rsidP="006B3AF2">
            <w:pPr>
              <w:rPr>
                <w:rFonts w:ascii="Arial" w:hAnsi="Arial" w:cs="Arial"/>
                <w:sz w:val="18"/>
                <w:szCs w:val="18"/>
              </w:rPr>
            </w:pPr>
          </w:p>
          <w:p w14:paraId="66174BAA" w14:textId="125C8B6F" w:rsidR="006B3AF2" w:rsidRPr="006B3AF2" w:rsidRDefault="00171598" w:rsidP="006B3AF2">
            <w:pPr>
              <w:rPr>
                <w:rFonts w:ascii="Arial" w:hAnsi="Arial" w:cs="Arial"/>
                <w:sz w:val="18"/>
                <w:szCs w:val="18"/>
              </w:rPr>
            </w:pPr>
            <w:r>
              <w:rPr>
                <w:rFonts w:ascii="Arial" w:hAnsi="Arial" w:cs="Arial"/>
                <w:sz w:val="18"/>
                <w:szCs w:val="18"/>
              </w:rPr>
              <w:t>It is our intention to engage students, teachers, staff, school council, and community m</w:t>
            </w:r>
            <w:r w:rsidR="006B3AF2" w:rsidRPr="006B3AF2">
              <w:rPr>
                <w:rFonts w:ascii="Arial" w:hAnsi="Arial" w:cs="Arial"/>
                <w:sz w:val="18"/>
                <w:szCs w:val="18"/>
              </w:rPr>
              <w:t xml:space="preserve">embers to reflect on the relevance of this vision. </w:t>
            </w:r>
          </w:p>
          <w:p w14:paraId="27D8B22F" w14:textId="77777777" w:rsidR="006B3AF2" w:rsidRPr="006B3AF2" w:rsidRDefault="006B3AF2" w:rsidP="00B85BE6">
            <w:pPr>
              <w:rPr>
                <w:rFonts w:ascii="Arial" w:hAnsi="Arial" w:cs="Arial"/>
                <w:sz w:val="18"/>
                <w:szCs w:val="18"/>
              </w:rPr>
            </w:pPr>
          </w:p>
          <w:p w14:paraId="53040886" w14:textId="77777777" w:rsidR="00B85BE6" w:rsidRPr="006B3AF2" w:rsidRDefault="00B85BE6" w:rsidP="00B85BE6">
            <w:pPr>
              <w:rPr>
                <w:rFonts w:ascii="Arial" w:hAnsi="Arial" w:cs="Arial"/>
                <w:sz w:val="18"/>
                <w:szCs w:val="18"/>
              </w:rPr>
            </w:pPr>
          </w:p>
          <w:p w14:paraId="5CC7E547" w14:textId="77777777" w:rsidR="00B85BE6" w:rsidRPr="006B3AF2" w:rsidRDefault="00B85BE6" w:rsidP="00B85BE6">
            <w:pPr>
              <w:rPr>
                <w:rFonts w:ascii="Arial" w:hAnsi="Arial" w:cs="Arial"/>
                <w:b/>
                <w:sz w:val="18"/>
                <w:szCs w:val="18"/>
              </w:rPr>
            </w:pPr>
          </w:p>
          <w:p w14:paraId="7BB3C482" w14:textId="77777777" w:rsidR="00B85BE6" w:rsidRPr="006B3AF2" w:rsidRDefault="00B85BE6" w:rsidP="00B85BE6">
            <w:pPr>
              <w:rPr>
                <w:rFonts w:ascii="Arial" w:hAnsi="Arial" w:cs="Arial"/>
                <w:sz w:val="18"/>
                <w:szCs w:val="18"/>
                <w:highlight w:val="lightGray"/>
              </w:rPr>
            </w:pPr>
          </w:p>
        </w:tc>
        <w:tc>
          <w:tcPr>
            <w:tcW w:w="4678" w:type="dxa"/>
            <w:vMerge w:val="restart"/>
          </w:tcPr>
          <w:p w14:paraId="739321B3" w14:textId="0D487E52" w:rsidR="006B3AF2" w:rsidRPr="00677D87" w:rsidRDefault="006B3AF2" w:rsidP="00171598">
            <w:pPr>
              <w:spacing w:before="120"/>
              <w:rPr>
                <w:rFonts w:ascii="Arial" w:hAnsi="Arial" w:cs="Arial"/>
                <w:sz w:val="18"/>
                <w:szCs w:val="18"/>
              </w:rPr>
            </w:pPr>
            <w:r w:rsidRPr="006B3AF2">
              <w:rPr>
                <w:rFonts w:ascii="Arial" w:eastAsia="Times New Roman" w:hAnsi="Arial" w:cs="Arial"/>
                <w:sz w:val="18"/>
                <w:szCs w:val="18"/>
                <w:lang w:val="en-GB" w:eastAsia="en-AU"/>
              </w:rPr>
              <w:t xml:space="preserve">At Oberon, we aim to foster skills and attributes in our students that extend beyond the classroom. We have embraced the </w:t>
            </w:r>
            <w:r w:rsidR="00854601" w:rsidRPr="00854601">
              <w:rPr>
                <w:rFonts w:ascii="Arial" w:eastAsia="Times New Roman" w:hAnsi="Arial" w:cs="Arial"/>
                <w:sz w:val="18"/>
                <w:szCs w:val="18"/>
                <w:lang w:val="en-GB" w:eastAsia="en-AU"/>
              </w:rPr>
              <w:t>Gr8 People P</w:t>
            </w:r>
            <w:r w:rsidRPr="00854601">
              <w:rPr>
                <w:rFonts w:ascii="Arial" w:eastAsia="Times New Roman" w:hAnsi="Arial" w:cs="Arial"/>
                <w:sz w:val="18"/>
                <w:szCs w:val="18"/>
                <w:lang w:val="en-GB" w:eastAsia="en-AU"/>
              </w:rPr>
              <w:t>rogram</w:t>
            </w:r>
            <w:r w:rsidR="00171598">
              <w:rPr>
                <w:rFonts w:ascii="Arial" w:eastAsia="Times New Roman" w:hAnsi="Arial" w:cs="Arial"/>
                <w:sz w:val="18"/>
                <w:szCs w:val="18"/>
                <w:lang w:val="en-GB" w:eastAsia="en-AU"/>
              </w:rPr>
              <w:t>, which encourages</w:t>
            </w:r>
            <w:r w:rsidRPr="006B3AF2">
              <w:rPr>
                <w:rFonts w:ascii="Arial" w:eastAsia="Times New Roman" w:hAnsi="Arial" w:cs="Arial"/>
                <w:sz w:val="18"/>
                <w:szCs w:val="18"/>
                <w:lang w:val="en-GB" w:eastAsia="en-AU"/>
              </w:rPr>
              <w:t xml:space="preserve"> our students to become well-rounded individuals</w:t>
            </w:r>
            <w:r w:rsidR="00171598">
              <w:rPr>
                <w:rFonts w:ascii="Arial" w:eastAsia="Times New Roman" w:hAnsi="Arial" w:cs="Arial"/>
                <w:sz w:val="18"/>
                <w:szCs w:val="18"/>
                <w:lang w:val="en-GB" w:eastAsia="en-AU"/>
              </w:rPr>
              <w:t>,</w:t>
            </w:r>
            <w:r w:rsidRPr="006B3AF2">
              <w:rPr>
                <w:rFonts w:ascii="Arial" w:eastAsia="Times New Roman" w:hAnsi="Arial" w:cs="Arial"/>
                <w:sz w:val="18"/>
                <w:szCs w:val="18"/>
                <w:lang w:val="en-GB" w:eastAsia="en-AU"/>
              </w:rPr>
              <w:t xml:space="preserve"> who are able to successfully function in </w:t>
            </w:r>
            <w:r w:rsidR="00171598">
              <w:rPr>
                <w:rFonts w:ascii="Arial" w:eastAsia="Times New Roman" w:hAnsi="Arial" w:cs="Arial"/>
                <w:sz w:val="18"/>
                <w:szCs w:val="18"/>
                <w:lang w:val="en-GB" w:eastAsia="en-AU"/>
              </w:rPr>
              <w:t>the</w:t>
            </w:r>
            <w:r w:rsidRPr="006B3AF2">
              <w:rPr>
                <w:rFonts w:ascii="Arial" w:eastAsia="Times New Roman" w:hAnsi="Arial" w:cs="Arial"/>
                <w:sz w:val="18"/>
                <w:szCs w:val="18"/>
                <w:lang w:val="en-GB" w:eastAsia="en-AU"/>
              </w:rPr>
              <w:t xml:space="preserve"> ever-changing world.</w:t>
            </w:r>
            <w:r w:rsidR="0048208C">
              <w:rPr>
                <w:rFonts w:ascii="Arial" w:eastAsia="Times New Roman" w:hAnsi="Arial" w:cs="Arial"/>
                <w:sz w:val="18"/>
                <w:szCs w:val="18"/>
                <w:lang w:val="en-GB" w:eastAsia="en-AU"/>
              </w:rPr>
              <w:t xml:space="preserve"> </w:t>
            </w:r>
          </w:p>
          <w:p w14:paraId="6E80B434" w14:textId="4DDBC530" w:rsidR="006B3AF2" w:rsidRPr="006B3AF2" w:rsidRDefault="0048208C" w:rsidP="006B3AF2">
            <w:pPr>
              <w:shd w:val="clear" w:color="auto" w:fill="FFFFFF"/>
              <w:spacing w:after="173"/>
              <w:rPr>
                <w:rFonts w:ascii="Arial" w:eastAsia="Times New Roman" w:hAnsi="Arial" w:cs="Arial"/>
                <w:sz w:val="18"/>
                <w:szCs w:val="18"/>
                <w:lang w:val="en-GB" w:eastAsia="en-AU"/>
              </w:rPr>
            </w:pPr>
            <w:r>
              <w:rPr>
                <w:rFonts w:ascii="Arial" w:eastAsia="Times New Roman" w:hAnsi="Arial" w:cs="Arial"/>
                <w:sz w:val="18"/>
                <w:szCs w:val="18"/>
                <w:lang w:val="en-GB" w:eastAsia="en-AU"/>
              </w:rPr>
              <w:br/>
              <w:t>The Gr8 People P</w:t>
            </w:r>
            <w:r w:rsidR="006B3AF2" w:rsidRPr="006B3AF2">
              <w:rPr>
                <w:rFonts w:ascii="Arial" w:eastAsia="Times New Roman" w:hAnsi="Arial" w:cs="Arial"/>
                <w:sz w:val="18"/>
                <w:szCs w:val="18"/>
                <w:lang w:val="en-GB" w:eastAsia="en-AU"/>
              </w:rPr>
              <w:t xml:space="preserve">rogram comprises ten key attributes. </w:t>
            </w:r>
          </w:p>
          <w:p w14:paraId="527BAB26" w14:textId="1BFB0E83" w:rsidR="006B3AF2" w:rsidRPr="006B3AF2" w:rsidRDefault="006B3AF2" w:rsidP="006B3AF2">
            <w:pPr>
              <w:rPr>
                <w:rFonts w:ascii="Arial" w:hAnsi="Arial" w:cs="Arial"/>
                <w:sz w:val="18"/>
                <w:szCs w:val="18"/>
              </w:rPr>
            </w:pPr>
            <w:r w:rsidRPr="006B3AF2">
              <w:rPr>
                <w:rFonts w:ascii="Arial" w:eastAsia="Times New Roman" w:hAnsi="Arial" w:cs="Arial"/>
                <w:sz w:val="18"/>
                <w:szCs w:val="18"/>
                <w:lang w:val="en-GB" w:eastAsia="en-AU"/>
              </w:rPr>
              <w:t>The ten attributes are:</w:t>
            </w:r>
            <w:r w:rsidRPr="006B3AF2">
              <w:rPr>
                <w:rFonts w:ascii="Arial" w:eastAsia="Times New Roman" w:hAnsi="Arial" w:cs="Arial"/>
                <w:sz w:val="18"/>
                <w:szCs w:val="18"/>
                <w:lang w:val="en-GB" w:eastAsia="en-AU"/>
              </w:rPr>
              <w:br/>
            </w:r>
            <w:r w:rsidRPr="006B3AF2">
              <w:rPr>
                <w:rFonts w:ascii="Arial" w:eastAsia="Times New Roman" w:hAnsi="Arial" w:cs="Arial"/>
                <w:b/>
                <w:bCs/>
                <w:sz w:val="18"/>
                <w:szCs w:val="18"/>
                <w:lang w:val="en-GB" w:eastAsia="en-AU"/>
              </w:rPr>
              <w:t>Balanced</w:t>
            </w:r>
            <w:r w:rsidRPr="006B3AF2">
              <w:rPr>
                <w:rFonts w:ascii="Arial" w:eastAsia="Times New Roman" w:hAnsi="Arial" w:cs="Arial"/>
                <w:sz w:val="18"/>
                <w:szCs w:val="18"/>
                <w:lang w:val="en-GB" w:eastAsia="en-AU"/>
              </w:rPr>
              <w:br/>
            </w:r>
            <w:r w:rsidRPr="006B3AF2">
              <w:rPr>
                <w:rFonts w:ascii="Arial" w:eastAsia="Times New Roman" w:hAnsi="Arial" w:cs="Arial"/>
                <w:b/>
                <w:bCs/>
                <w:sz w:val="18"/>
                <w:szCs w:val="18"/>
                <w:lang w:val="en-GB" w:eastAsia="en-AU"/>
              </w:rPr>
              <w:t>Caring</w:t>
            </w:r>
            <w:r w:rsidRPr="006B3AF2">
              <w:rPr>
                <w:rFonts w:ascii="Arial" w:eastAsia="Times New Roman" w:hAnsi="Arial" w:cs="Arial"/>
                <w:sz w:val="18"/>
                <w:szCs w:val="18"/>
                <w:lang w:val="en-GB" w:eastAsia="en-AU"/>
              </w:rPr>
              <w:br/>
            </w:r>
            <w:r w:rsidRPr="006B3AF2">
              <w:rPr>
                <w:rFonts w:ascii="Arial" w:eastAsia="Times New Roman" w:hAnsi="Arial" w:cs="Arial"/>
                <w:b/>
                <w:bCs/>
                <w:sz w:val="18"/>
                <w:szCs w:val="18"/>
                <w:lang w:val="en-GB" w:eastAsia="en-AU"/>
              </w:rPr>
              <w:t>Creative</w:t>
            </w:r>
            <w:r w:rsidRPr="006B3AF2">
              <w:rPr>
                <w:rFonts w:ascii="Arial" w:eastAsia="Times New Roman" w:hAnsi="Arial" w:cs="Arial"/>
                <w:sz w:val="18"/>
                <w:szCs w:val="18"/>
                <w:lang w:val="en-GB" w:eastAsia="en-AU"/>
              </w:rPr>
              <w:br/>
            </w:r>
            <w:r w:rsidRPr="006B3AF2">
              <w:rPr>
                <w:rFonts w:ascii="Arial" w:eastAsia="Times New Roman" w:hAnsi="Arial" w:cs="Arial"/>
                <w:b/>
                <w:bCs/>
                <w:sz w:val="18"/>
                <w:szCs w:val="18"/>
                <w:lang w:val="en-GB" w:eastAsia="en-AU"/>
              </w:rPr>
              <w:t>Fair</w:t>
            </w:r>
            <w:r w:rsidR="004579EC">
              <w:rPr>
                <w:rFonts w:ascii="Arial" w:eastAsia="Times New Roman" w:hAnsi="Arial" w:cs="Arial"/>
                <w:b/>
                <w:bCs/>
                <w:sz w:val="18"/>
                <w:szCs w:val="18"/>
                <w:lang w:val="en-GB" w:eastAsia="en-AU"/>
              </w:rPr>
              <w:t>/Trustworthy</w:t>
            </w:r>
            <w:r w:rsidRPr="006B3AF2">
              <w:rPr>
                <w:rFonts w:ascii="Arial" w:eastAsia="Times New Roman" w:hAnsi="Arial" w:cs="Arial"/>
                <w:sz w:val="18"/>
                <w:szCs w:val="18"/>
                <w:lang w:val="en-GB" w:eastAsia="en-AU"/>
              </w:rPr>
              <w:br/>
            </w:r>
            <w:r w:rsidRPr="006B3AF2">
              <w:rPr>
                <w:rFonts w:ascii="Arial" w:eastAsia="Times New Roman" w:hAnsi="Arial" w:cs="Arial"/>
                <w:b/>
                <w:bCs/>
                <w:sz w:val="18"/>
                <w:szCs w:val="18"/>
                <w:lang w:val="en-GB" w:eastAsia="en-AU"/>
              </w:rPr>
              <w:t>Good communicators</w:t>
            </w:r>
            <w:r w:rsidRPr="006B3AF2">
              <w:rPr>
                <w:rFonts w:ascii="Arial" w:eastAsia="Times New Roman" w:hAnsi="Arial" w:cs="Arial"/>
                <w:sz w:val="18"/>
                <w:szCs w:val="18"/>
                <w:lang w:val="en-GB" w:eastAsia="en-AU"/>
              </w:rPr>
              <w:br/>
            </w:r>
            <w:r w:rsidRPr="006B3AF2">
              <w:rPr>
                <w:rFonts w:ascii="Arial" w:eastAsia="Times New Roman" w:hAnsi="Arial" w:cs="Arial"/>
                <w:b/>
                <w:bCs/>
                <w:sz w:val="18"/>
                <w:szCs w:val="18"/>
                <w:lang w:val="en-GB" w:eastAsia="en-AU"/>
              </w:rPr>
              <w:t>Hardworking</w:t>
            </w:r>
            <w:r w:rsidRPr="006B3AF2">
              <w:rPr>
                <w:rFonts w:ascii="Arial" w:eastAsia="Times New Roman" w:hAnsi="Arial" w:cs="Arial"/>
                <w:sz w:val="18"/>
                <w:szCs w:val="18"/>
                <w:lang w:val="en-GB" w:eastAsia="en-AU"/>
              </w:rPr>
              <w:br/>
            </w:r>
            <w:r w:rsidRPr="006B3AF2">
              <w:rPr>
                <w:rFonts w:ascii="Arial" w:eastAsia="Times New Roman" w:hAnsi="Arial" w:cs="Arial"/>
                <w:b/>
                <w:bCs/>
                <w:sz w:val="18"/>
                <w:szCs w:val="18"/>
                <w:lang w:val="en-GB" w:eastAsia="en-AU"/>
              </w:rPr>
              <w:t>Knowledgeable</w:t>
            </w:r>
            <w:r w:rsidRPr="006B3AF2">
              <w:rPr>
                <w:rFonts w:ascii="Arial" w:eastAsia="Times New Roman" w:hAnsi="Arial" w:cs="Arial"/>
                <w:sz w:val="18"/>
                <w:szCs w:val="18"/>
                <w:lang w:val="en-GB" w:eastAsia="en-AU"/>
              </w:rPr>
              <w:br/>
            </w:r>
            <w:r w:rsidRPr="006B3AF2">
              <w:rPr>
                <w:rFonts w:ascii="Arial" w:eastAsia="Times New Roman" w:hAnsi="Arial" w:cs="Arial"/>
                <w:b/>
                <w:bCs/>
                <w:sz w:val="18"/>
                <w:szCs w:val="18"/>
                <w:lang w:val="en-GB" w:eastAsia="en-AU"/>
              </w:rPr>
              <w:t>Positive</w:t>
            </w:r>
            <w:r w:rsidRPr="006B3AF2">
              <w:rPr>
                <w:rFonts w:ascii="Arial" w:eastAsia="Times New Roman" w:hAnsi="Arial" w:cs="Arial"/>
                <w:sz w:val="18"/>
                <w:szCs w:val="18"/>
                <w:lang w:val="en-GB" w:eastAsia="en-AU"/>
              </w:rPr>
              <w:br/>
            </w:r>
            <w:r w:rsidRPr="006B3AF2">
              <w:rPr>
                <w:rFonts w:ascii="Arial" w:eastAsia="Times New Roman" w:hAnsi="Arial" w:cs="Arial"/>
                <w:b/>
                <w:bCs/>
                <w:sz w:val="18"/>
                <w:szCs w:val="18"/>
                <w:lang w:val="en-GB" w:eastAsia="en-AU"/>
              </w:rPr>
              <w:t>Problem solvers</w:t>
            </w:r>
            <w:r w:rsidRPr="006B3AF2">
              <w:rPr>
                <w:rFonts w:ascii="Arial" w:eastAsia="Times New Roman" w:hAnsi="Arial" w:cs="Arial"/>
                <w:sz w:val="18"/>
                <w:szCs w:val="18"/>
                <w:lang w:val="en-GB" w:eastAsia="en-AU"/>
              </w:rPr>
              <w:br/>
            </w:r>
            <w:r w:rsidRPr="006B3AF2">
              <w:rPr>
                <w:rFonts w:ascii="Arial" w:eastAsia="Times New Roman" w:hAnsi="Arial" w:cs="Arial"/>
                <w:b/>
                <w:bCs/>
                <w:sz w:val="18"/>
                <w:szCs w:val="18"/>
                <w:lang w:val="en-GB" w:eastAsia="en-AU"/>
              </w:rPr>
              <w:t>Team players</w:t>
            </w:r>
            <w:r w:rsidRPr="006B3AF2">
              <w:rPr>
                <w:rFonts w:ascii="Arial" w:eastAsia="Times New Roman" w:hAnsi="Arial" w:cs="Arial"/>
                <w:b/>
                <w:bCs/>
                <w:sz w:val="18"/>
                <w:szCs w:val="18"/>
                <w:lang w:val="en-GB" w:eastAsia="en-AU"/>
              </w:rPr>
              <w:br/>
            </w:r>
            <w:r w:rsidRPr="006B3AF2">
              <w:rPr>
                <w:rFonts w:ascii="Arial" w:eastAsia="Times New Roman" w:hAnsi="Arial" w:cs="Arial"/>
                <w:sz w:val="18"/>
                <w:szCs w:val="18"/>
                <w:lang w:val="en-GB" w:eastAsia="en-AU"/>
              </w:rPr>
              <w:br/>
            </w:r>
            <w:r w:rsidRPr="006B3AF2">
              <w:rPr>
                <w:rFonts w:ascii="Arial" w:hAnsi="Arial" w:cs="Arial"/>
                <w:sz w:val="18"/>
                <w:szCs w:val="18"/>
              </w:rPr>
              <w:t>These values were developed and adopted through consultation with all stakeholders; students, staff and parents in 2012. Subsequently, these values are embedded in the manner in which all community members interact within our school. It is part of a common language to reinforce particular actions and communication in our school community. Teachers use this shared and common language to promote positive, supportive and respectful interactions. It provides a simple, clear and consistent message. All school community members are familiar with</w:t>
            </w:r>
            <w:r w:rsidR="00171598">
              <w:rPr>
                <w:rFonts w:ascii="Arial" w:hAnsi="Arial" w:cs="Arial"/>
                <w:sz w:val="18"/>
                <w:szCs w:val="18"/>
              </w:rPr>
              <w:t>,</w:t>
            </w:r>
            <w:r w:rsidRPr="006B3AF2">
              <w:rPr>
                <w:rFonts w:ascii="Arial" w:hAnsi="Arial" w:cs="Arial"/>
                <w:sz w:val="18"/>
                <w:szCs w:val="18"/>
              </w:rPr>
              <w:t xml:space="preserve"> and support</w:t>
            </w:r>
            <w:r w:rsidR="00171598">
              <w:rPr>
                <w:rFonts w:ascii="Arial" w:hAnsi="Arial" w:cs="Arial"/>
                <w:sz w:val="18"/>
                <w:szCs w:val="18"/>
              </w:rPr>
              <w:t>,</w:t>
            </w:r>
            <w:r w:rsidRPr="006B3AF2">
              <w:rPr>
                <w:rFonts w:ascii="Arial" w:hAnsi="Arial" w:cs="Arial"/>
                <w:sz w:val="18"/>
                <w:szCs w:val="18"/>
              </w:rPr>
              <w:t xml:space="preserve"> our values. </w:t>
            </w:r>
          </w:p>
          <w:p w14:paraId="5A8E298C" w14:textId="7AD1822B" w:rsidR="006B3AF2" w:rsidRPr="006B3AF2" w:rsidRDefault="006B3AF2" w:rsidP="006B3AF2">
            <w:pPr>
              <w:shd w:val="clear" w:color="auto" w:fill="FFFFFF"/>
              <w:spacing w:after="173"/>
              <w:rPr>
                <w:rFonts w:ascii="Arial" w:eastAsia="Times New Roman" w:hAnsi="Arial" w:cs="Arial"/>
                <w:sz w:val="18"/>
                <w:szCs w:val="18"/>
                <w:lang w:val="en-GB" w:eastAsia="en-AU"/>
              </w:rPr>
            </w:pPr>
          </w:p>
          <w:p w14:paraId="6E218D19" w14:textId="77777777" w:rsidR="00B85BE6" w:rsidRPr="006B3AF2" w:rsidRDefault="00B85BE6" w:rsidP="00B85BE6">
            <w:pPr>
              <w:rPr>
                <w:rFonts w:ascii="Arial" w:hAnsi="Arial" w:cs="Arial"/>
                <w:sz w:val="18"/>
                <w:szCs w:val="18"/>
              </w:rPr>
            </w:pPr>
          </w:p>
          <w:p w14:paraId="154A1D91" w14:textId="49FAF662" w:rsidR="00B85BE6" w:rsidRPr="006B3AF2" w:rsidRDefault="00B85BE6" w:rsidP="00B85BE6">
            <w:pPr>
              <w:rPr>
                <w:rFonts w:ascii="Arial" w:hAnsi="Arial" w:cs="Arial"/>
                <w:i/>
                <w:sz w:val="18"/>
                <w:szCs w:val="18"/>
              </w:rPr>
            </w:pPr>
          </w:p>
        </w:tc>
        <w:tc>
          <w:tcPr>
            <w:tcW w:w="6946" w:type="dxa"/>
            <w:vMerge w:val="restart"/>
          </w:tcPr>
          <w:p w14:paraId="2CA5467C" w14:textId="0A8CB408" w:rsidR="00344C6B" w:rsidRDefault="00D520CC" w:rsidP="00344C6B">
            <w:pPr>
              <w:spacing w:before="120"/>
              <w:rPr>
                <w:rFonts w:ascii="Arial" w:hAnsi="Arial" w:cs="Arial"/>
                <w:sz w:val="18"/>
                <w:szCs w:val="18"/>
              </w:rPr>
            </w:pPr>
            <w:r w:rsidRPr="00B17C59">
              <w:rPr>
                <w:rFonts w:ascii="Arial" w:hAnsi="Arial" w:cs="Arial"/>
                <w:sz w:val="18"/>
                <w:szCs w:val="18"/>
              </w:rPr>
              <w:t xml:space="preserve">Oberon Primary School is located in the Geelong suburb of Belmont. </w:t>
            </w:r>
            <w:r w:rsidR="0042491D">
              <w:rPr>
                <w:rFonts w:ascii="Arial" w:hAnsi="Arial" w:cs="Arial"/>
                <w:sz w:val="18"/>
                <w:szCs w:val="18"/>
              </w:rPr>
              <w:t>Since 2008, t</w:t>
            </w:r>
            <w:r w:rsidRPr="00B17C59">
              <w:rPr>
                <w:rFonts w:ascii="Arial" w:hAnsi="Arial" w:cs="Arial"/>
                <w:sz w:val="18"/>
                <w:szCs w:val="18"/>
              </w:rPr>
              <w:t>here has been a steady inc</w:t>
            </w:r>
            <w:r w:rsidR="00E64561" w:rsidRPr="00B17C59">
              <w:rPr>
                <w:rFonts w:ascii="Arial" w:hAnsi="Arial" w:cs="Arial"/>
                <w:sz w:val="18"/>
                <w:szCs w:val="18"/>
              </w:rPr>
              <w:t>rease in enrolments</w:t>
            </w:r>
            <w:r w:rsidR="000A137C">
              <w:rPr>
                <w:rFonts w:ascii="Arial" w:hAnsi="Arial" w:cs="Arial"/>
                <w:sz w:val="18"/>
                <w:szCs w:val="18"/>
              </w:rPr>
              <w:t>;</w:t>
            </w:r>
            <w:r w:rsidR="00E64561" w:rsidRPr="00B17C59">
              <w:rPr>
                <w:rFonts w:ascii="Arial" w:hAnsi="Arial" w:cs="Arial"/>
                <w:sz w:val="18"/>
                <w:szCs w:val="18"/>
              </w:rPr>
              <w:t xml:space="preserve"> </w:t>
            </w:r>
            <w:r w:rsidR="000A137C">
              <w:rPr>
                <w:rFonts w:ascii="Arial" w:hAnsi="Arial" w:cs="Arial"/>
                <w:sz w:val="18"/>
                <w:szCs w:val="18"/>
              </w:rPr>
              <w:t>a trend which is</w:t>
            </w:r>
            <w:r w:rsidRPr="00B17C59">
              <w:rPr>
                <w:rFonts w:ascii="Arial" w:hAnsi="Arial" w:cs="Arial"/>
                <w:sz w:val="18"/>
                <w:szCs w:val="18"/>
              </w:rPr>
              <w:t xml:space="preserve"> expected to continue. </w:t>
            </w:r>
            <w:r w:rsidR="0042491D">
              <w:rPr>
                <w:rFonts w:ascii="Arial" w:hAnsi="Arial" w:cs="Arial"/>
                <w:sz w:val="18"/>
                <w:szCs w:val="18"/>
              </w:rPr>
              <w:t>Over</w:t>
            </w:r>
            <w:r w:rsidR="00B17C59">
              <w:rPr>
                <w:rFonts w:ascii="Arial" w:hAnsi="Arial" w:cs="Arial"/>
                <w:sz w:val="18"/>
                <w:szCs w:val="18"/>
              </w:rPr>
              <w:t xml:space="preserve"> </w:t>
            </w:r>
            <w:r w:rsidR="00E52471">
              <w:rPr>
                <w:rFonts w:ascii="Arial" w:hAnsi="Arial" w:cs="Arial"/>
                <w:sz w:val="18"/>
                <w:szCs w:val="18"/>
              </w:rPr>
              <w:t xml:space="preserve">the </w:t>
            </w:r>
            <w:r w:rsidR="000A137C">
              <w:rPr>
                <w:rFonts w:ascii="Arial" w:hAnsi="Arial" w:cs="Arial"/>
                <w:sz w:val="18"/>
                <w:szCs w:val="18"/>
              </w:rPr>
              <w:t>past</w:t>
            </w:r>
            <w:r w:rsidR="00B17C59">
              <w:rPr>
                <w:rFonts w:ascii="Arial" w:hAnsi="Arial" w:cs="Arial"/>
                <w:sz w:val="18"/>
                <w:szCs w:val="18"/>
              </w:rPr>
              <w:t xml:space="preserve"> </w:t>
            </w:r>
            <w:r w:rsidR="0042491D">
              <w:rPr>
                <w:rFonts w:ascii="Arial" w:hAnsi="Arial" w:cs="Arial"/>
                <w:sz w:val="18"/>
                <w:szCs w:val="18"/>
              </w:rPr>
              <w:t>eight</w:t>
            </w:r>
            <w:r w:rsidR="00B17C59">
              <w:rPr>
                <w:rFonts w:ascii="Arial" w:hAnsi="Arial" w:cs="Arial"/>
                <w:sz w:val="18"/>
                <w:szCs w:val="18"/>
              </w:rPr>
              <w:t xml:space="preserve"> years, Oberon</w:t>
            </w:r>
            <w:r w:rsidR="00E64561" w:rsidRPr="00B17C59">
              <w:rPr>
                <w:rFonts w:ascii="Arial" w:hAnsi="Arial" w:cs="Arial"/>
                <w:sz w:val="18"/>
                <w:szCs w:val="18"/>
              </w:rPr>
              <w:t xml:space="preserve"> has transformed from a school under duress and facing adversity, to one that proudly shows it has not only survived, but has become a flourishing, popular and sought</w:t>
            </w:r>
            <w:r w:rsidR="0042491D">
              <w:rPr>
                <w:rFonts w:ascii="Arial" w:hAnsi="Arial" w:cs="Arial"/>
                <w:sz w:val="18"/>
                <w:szCs w:val="18"/>
              </w:rPr>
              <w:t>-a</w:t>
            </w:r>
            <w:r w:rsidR="00E64561" w:rsidRPr="00B17C59">
              <w:rPr>
                <w:rFonts w:ascii="Arial" w:hAnsi="Arial" w:cs="Arial"/>
                <w:sz w:val="18"/>
                <w:szCs w:val="18"/>
              </w:rPr>
              <w:t>fter educational environment</w:t>
            </w:r>
            <w:r w:rsidR="008A0D71">
              <w:rPr>
                <w:rFonts w:ascii="Arial" w:hAnsi="Arial" w:cs="Arial"/>
                <w:sz w:val="18"/>
                <w:szCs w:val="18"/>
              </w:rPr>
              <w:t xml:space="preserve">. </w:t>
            </w:r>
            <w:r w:rsidR="00E52471">
              <w:rPr>
                <w:rFonts w:ascii="Arial" w:hAnsi="Arial" w:cs="Arial"/>
                <w:sz w:val="18"/>
                <w:szCs w:val="18"/>
              </w:rPr>
              <w:t>As e</w:t>
            </w:r>
            <w:r w:rsidR="00344C6B">
              <w:rPr>
                <w:rFonts w:ascii="Arial" w:hAnsi="Arial" w:cs="Arial"/>
                <w:sz w:val="18"/>
                <w:szCs w:val="18"/>
              </w:rPr>
              <w:t>thnic and c</w:t>
            </w:r>
            <w:r w:rsidR="00E52471">
              <w:rPr>
                <w:rFonts w:ascii="Arial" w:hAnsi="Arial" w:cs="Arial"/>
                <w:sz w:val="18"/>
                <w:szCs w:val="18"/>
              </w:rPr>
              <w:t>ultural diversity within our</w:t>
            </w:r>
            <w:r w:rsidR="008A0D71">
              <w:rPr>
                <w:rFonts w:ascii="Arial" w:hAnsi="Arial" w:cs="Arial"/>
                <w:sz w:val="18"/>
                <w:szCs w:val="18"/>
              </w:rPr>
              <w:t xml:space="preserve"> school </w:t>
            </w:r>
            <w:r w:rsidR="00E52471">
              <w:rPr>
                <w:rFonts w:ascii="Arial" w:hAnsi="Arial" w:cs="Arial"/>
                <w:sz w:val="18"/>
                <w:szCs w:val="18"/>
              </w:rPr>
              <w:t>increases,</w:t>
            </w:r>
            <w:r w:rsidR="00344C6B">
              <w:rPr>
                <w:rFonts w:ascii="Arial" w:hAnsi="Arial" w:cs="Arial"/>
                <w:sz w:val="18"/>
                <w:szCs w:val="18"/>
              </w:rPr>
              <w:t xml:space="preserve"> all new students (and their families) continue to be warmly welcomed </w:t>
            </w:r>
            <w:r w:rsidR="00854601">
              <w:rPr>
                <w:rFonts w:ascii="Arial" w:hAnsi="Arial" w:cs="Arial"/>
                <w:sz w:val="18"/>
                <w:szCs w:val="18"/>
              </w:rPr>
              <w:t>by existing families, and</w:t>
            </w:r>
            <w:r w:rsidR="00344C6B" w:rsidRPr="00B17C59">
              <w:rPr>
                <w:rFonts w:ascii="Arial" w:hAnsi="Arial" w:cs="Arial"/>
                <w:sz w:val="18"/>
                <w:szCs w:val="18"/>
              </w:rPr>
              <w:t xml:space="preserve"> staff</w:t>
            </w:r>
            <w:r w:rsidR="00854601">
              <w:rPr>
                <w:rFonts w:ascii="Arial" w:hAnsi="Arial" w:cs="Arial"/>
                <w:sz w:val="18"/>
                <w:szCs w:val="18"/>
              </w:rPr>
              <w:t>.</w:t>
            </w:r>
            <w:r w:rsidR="00344C6B" w:rsidRPr="00B17C59">
              <w:rPr>
                <w:rFonts w:ascii="Arial" w:hAnsi="Arial" w:cs="Arial"/>
                <w:sz w:val="18"/>
                <w:szCs w:val="18"/>
              </w:rPr>
              <w:t xml:space="preserve"> </w:t>
            </w:r>
          </w:p>
          <w:p w14:paraId="28F1E889" w14:textId="4E9147F6" w:rsidR="00DE72CD" w:rsidRDefault="00344C6B" w:rsidP="001B3CE1">
            <w:pPr>
              <w:spacing w:before="120"/>
              <w:rPr>
                <w:rFonts w:ascii="Arial" w:hAnsi="Arial" w:cs="Arial"/>
                <w:sz w:val="18"/>
                <w:szCs w:val="18"/>
              </w:rPr>
            </w:pPr>
            <w:r>
              <w:rPr>
                <w:rFonts w:ascii="Arial" w:hAnsi="Arial" w:cs="Arial"/>
                <w:sz w:val="18"/>
                <w:szCs w:val="18"/>
              </w:rPr>
              <w:t xml:space="preserve"> </w:t>
            </w:r>
          </w:p>
          <w:p w14:paraId="2042E1BE" w14:textId="39F53043" w:rsidR="00DE72CD" w:rsidRPr="00DE72CD" w:rsidRDefault="00DE72CD" w:rsidP="00E64561">
            <w:pPr>
              <w:rPr>
                <w:rFonts w:ascii="Arial" w:hAnsi="Arial" w:cs="Arial"/>
                <w:sz w:val="18"/>
                <w:szCs w:val="18"/>
              </w:rPr>
            </w:pPr>
            <w:r>
              <w:rPr>
                <w:rFonts w:ascii="Arial" w:hAnsi="Arial" w:cs="Arial"/>
                <w:sz w:val="18"/>
                <w:szCs w:val="18"/>
              </w:rPr>
              <w:t>Engl</w:t>
            </w:r>
            <w:r w:rsidRPr="00B17C59">
              <w:rPr>
                <w:rFonts w:ascii="Arial" w:hAnsi="Arial" w:cs="Arial"/>
                <w:sz w:val="18"/>
                <w:szCs w:val="18"/>
              </w:rPr>
              <w:t xml:space="preserve">ish and Mathematics remain key focus areas. The school </w:t>
            </w:r>
            <w:r>
              <w:rPr>
                <w:rFonts w:ascii="Arial" w:hAnsi="Arial" w:cs="Arial"/>
                <w:sz w:val="18"/>
                <w:szCs w:val="18"/>
              </w:rPr>
              <w:t xml:space="preserve">will </w:t>
            </w:r>
            <w:r w:rsidRPr="00B17C59">
              <w:rPr>
                <w:rFonts w:ascii="Arial" w:hAnsi="Arial" w:cs="Arial"/>
                <w:sz w:val="18"/>
                <w:szCs w:val="18"/>
              </w:rPr>
              <w:t xml:space="preserve">also </w:t>
            </w:r>
            <w:r>
              <w:rPr>
                <w:rFonts w:ascii="Arial" w:hAnsi="Arial" w:cs="Arial"/>
                <w:sz w:val="18"/>
                <w:szCs w:val="18"/>
              </w:rPr>
              <w:t>continue to provide</w:t>
            </w:r>
            <w:r w:rsidRPr="00B17C59">
              <w:rPr>
                <w:rFonts w:ascii="Arial" w:hAnsi="Arial" w:cs="Arial"/>
                <w:sz w:val="18"/>
                <w:szCs w:val="18"/>
              </w:rPr>
              <w:t xml:space="preserve"> quality programs in all learning areas</w:t>
            </w:r>
            <w:r w:rsidR="00BD7BFE">
              <w:rPr>
                <w:rFonts w:ascii="Arial" w:hAnsi="Arial" w:cs="Arial"/>
                <w:sz w:val="18"/>
                <w:szCs w:val="18"/>
              </w:rPr>
              <w:t>,</w:t>
            </w:r>
            <w:r w:rsidRPr="00B17C59">
              <w:rPr>
                <w:rFonts w:ascii="Arial" w:hAnsi="Arial" w:cs="Arial"/>
                <w:sz w:val="18"/>
                <w:szCs w:val="18"/>
              </w:rPr>
              <w:t xml:space="preserve"> with specialist staff </w:t>
            </w:r>
            <w:r w:rsidR="00BD7BFE">
              <w:rPr>
                <w:rFonts w:ascii="Arial" w:hAnsi="Arial" w:cs="Arial"/>
                <w:sz w:val="18"/>
                <w:szCs w:val="18"/>
              </w:rPr>
              <w:t xml:space="preserve">delivering </w:t>
            </w:r>
            <w:r w:rsidRPr="00B17C59">
              <w:rPr>
                <w:rFonts w:ascii="Arial" w:hAnsi="Arial" w:cs="Arial"/>
                <w:sz w:val="18"/>
                <w:szCs w:val="18"/>
              </w:rPr>
              <w:t>instruction in the Arts, Physical Education and Information and Communication Technology (ICT). The spacious classrooms feature the latest technology</w:t>
            </w:r>
            <w:r w:rsidR="00BD7BFE">
              <w:rPr>
                <w:rFonts w:ascii="Arial" w:hAnsi="Arial" w:cs="Arial"/>
                <w:sz w:val="18"/>
                <w:szCs w:val="18"/>
              </w:rPr>
              <w:t>:</w:t>
            </w:r>
            <w:r w:rsidRPr="00B17C59">
              <w:rPr>
                <w:rFonts w:ascii="Arial" w:hAnsi="Arial" w:cs="Arial"/>
                <w:sz w:val="18"/>
                <w:szCs w:val="18"/>
              </w:rPr>
              <w:t xml:space="preserve"> studen</w:t>
            </w:r>
            <w:r w:rsidR="00BD7BFE">
              <w:rPr>
                <w:rFonts w:ascii="Arial" w:hAnsi="Arial" w:cs="Arial"/>
                <w:sz w:val="18"/>
                <w:szCs w:val="18"/>
              </w:rPr>
              <w:t>ts have daily access to iPads, n</w:t>
            </w:r>
            <w:r w:rsidRPr="00B17C59">
              <w:rPr>
                <w:rFonts w:ascii="Arial" w:hAnsi="Arial" w:cs="Arial"/>
                <w:sz w:val="18"/>
                <w:szCs w:val="18"/>
              </w:rPr>
              <w:t>otebooks and comp</w:t>
            </w:r>
            <w:r w:rsidR="00BD7BFE">
              <w:rPr>
                <w:rFonts w:ascii="Arial" w:hAnsi="Arial" w:cs="Arial"/>
                <w:sz w:val="18"/>
                <w:szCs w:val="18"/>
              </w:rPr>
              <w:t>uters. A well-resourced library</w:t>
            </w:r>
            <w:r w:rsidRPr="00B17C59">
              <w:rPr>
                <w:rFonts w:ascii="Arial" w:hAnsi="Arial" w:cs="Arial"/>
                <w:sz w:val="18"/>
                <w:szCs w:val="18"/>
              </w:rPr>
              <w:t>/</w:t>
            </w:r>
            <w:r w:rsidR="00BD7BFE">
              <w:rPr>
                <w:rFonts w:ascii="Arial" w:hAnsi="Arial" w:cs="Arial"/>
                <w:sz w:val="18"/>
                <w:szCs w:val="18"/>
              </w:rPr>
              <w:t>computer c</w:t>
            </w:r>
            <w:r w:rsidRPr="00B17C59">
              <w:rPr>
                <w:rFonts w:ascii="Arial" w:hAnsi="Arial" w:cs="Arial"/>
                <w:sz w:val="18"/>
                <w:szCs w:val="18"/>
              </w:rPr>
              <w:t>entre enable</w:t>
            </w:r>
            <w:r w:rsidR="00BD7BFE">
              <w:rPr>
                <w:rFonts w:ascii="Arial" w:hAnsi="Arial" w:cs="Arial"/>
                <w:sz w:val="18"/>
                <w:szCs w:val="18"/>
              </w:rPr>
              <w:t>s</w:t>
            </w:r>
            <w:r w:rsidRPr="00B17C59">
              <w:rPr>
                <w:rFonts w:ascii="Arial" w:hAnsi="Arial" w:cs="Arial"/>
                <w:sz w:val="18"/>
                <w:szCs w:val="18"/>
              </w:rPr>
              <w:t xml:space="preserve"> ready access to the latest information</w:t>
            </w:r>
            <w:r w:rsidR="00BD7BFE">
              <w:rPr>
                <w:rFonts w:ascii="Arial" w:hAnsi="Arial" w:cs="Arial"/>
                <w:sz w:val="18"/>
                <w:szCs w:val="18"/>
              </w:rPr>
              <w:t>, which enhances</w:t>
            </w:r>
            <w:r w:rsidRPr="00B17C59">
              <w:rPr>
                <w:rFonts w:ascii="Arial" w:hAnsi="Arial" w:cs="Arial"/>
                <w:sz w:val="18"/>
                <w:szCs w:val="18"/>
              </w:rPr>
              <w:t xml:space="preserve"> stimulating and motivational experiences. </w:t>
            </w:r>
          </w:p>
          <w:p w14:paraId="3BE8794A" w14:textId="77777777" w:rsidR="00E64561" w:rsidRPr="00B17C59" w:rsidRDefault="00E64561" w:rsidP="00E64561">
            <w:pPr>
              <w:rPr>
                <w:rFonts w:ascii="Arial" w:hAnsi="Arial" w:cs="Arial"/>
                <w:sz w:val="18"/>
                <w:szCs w:val="18"/>
              </w:rPr>
            </w:pPr>
          </w:p>
          <w:p w14:paraId="485CEB0A" w14:textId="0911D2CA" w:rsidR="00DE72CD" w:rsidRDefault="00E64561" w:rsidP="00E64561">
            <w:pPr>
              <w:rPr>
                <w:rFonts w:ascii="Arial" w:hAnsi="Arial" w:cs="Arial"/>
                <w:sz w:val="18"/>
                <w:szCs w:val="18"/>
              </w:rPr>
            </w:pPr>
            <w:r w:rsidRPr="00B17C59">
              <w:rPr>
                <w:rFonts w:ascii="Arial" w:hAnsi="Arial" w:cs="Arial"/>
                <w:sz w:val="18"/>
                <w:szCs w:val="18"/>
              </w:rPr>
              <w:t>Whilst our data has constantly shown our students, parents, staff and wider community have been</w:t>
            </w:r>
            <w:r w:rsidR="005847DF" w:rsidRPr="00B17C59">
              <w:rPr>
                <w:rFonts w:ascii="Arial" w:hAnsi="Arial" w:cs="Arial"/>
                <w:sz w:val="18"/>
                <w:szCs w:val="18"/>
              </w:rPr>
              <w:t xml:space="preserve"> </w:t>
            </w:r>
            <w:r w:rsidRPr="00B17C59">
              <w:rPr>
                <w:rFonts w:ascii="Arial" w:hAnsi="Arial" w:cs="Arial"/>
                <w:sz w:val="18"/>
                <w:szCs w:val="18"/>
              </w:rPr>
              <w:t>generally happy, healthy and engaged in their interactions with one another,</w:t>
            </w:r>
            <w:r w:rsidR="00DE72CD">
              <w:rPr>
                <w:rFonts w:ascii="Arial" w:hAnsi="Arial" w:cs="Arial"/>
                <w:sz w:val="18"/>
                <w:szCs w:val="18"/>
              </w:rPr>
              <w:t xml:space="preserve"> there is evidence to suggest our students may need added support to develop their resilience and confidence</w:t>
            </w:r>
            <w:r w:rsidR="00BD7BFE">
              <w:rPr>
                <w:rFonts w:ascii="Arial" w:hAnsi="Arial" w:cs="Arial"/>
                <w:sz w:val="18"/>
                <w:szCs w:val="18"/>
              </w:rPr>
              <w:t>,</w:t>
            </w:r>
            <w:r w:rsidR="00DE72CD">
              <w:rPr>
                <w:rFonts w:ascii="Arial" w:hAnsi="Arial" w:cs="Arial"/>
                <w:sz w:val="18"/>
                <w:szCs w:val="18"/>
              </w:rPr>
              <w:t xml:space="preserve"> particularly in the later years. </w:t>
            </w:r>
          </w:p>
          <w:p w14:paraId="4DE263F1" w14:textId="77777777" w:rsidR="00DE72CD" w:rsidRDefault="00DE72CD" w:rsidP="00E64561">
            <w:pPr>
              <w:rPr>
                <w:rFonts w:ascii="Arial" w:hAnsi="Arial" w:cs="Arial"/>
                <w:sz w:val="18"/>
                <w:szCs w:val="18"/>
              </w:rPr>
            </w:pPr>
          </w:p>
          <w:p w14:paraId="00667DCA" w14:textId="0BEBDD88" w:rsidR="00E64561" w:rsidRPr="00B17C59" w:rsidRDefault="00DE72CD" w:rsidP="00E64561">
            <w:pPr>
              <w:rPr>
                <w:rFonts w:ascii="Arial" w:hAnsi="Arial" w:cs="Arial"/>
                <w:sz w:val="18"/>
                <w:szCs w:val="18"/>
              </w:rPr>
            </w:pPr>
            <w:r>
              <w:rPr>
                <w:rFonts w:ascii="Arial" w:hAnsi="Arial" w:cs="Arial"/>
                <w:sz w:val="18"/>
                <w:szCs w:val="18"/>
              </w:rPr>
              <w:t>A</w:t>
            </w:r>
            <w:r w:rsidR="00E64561" w:rsidRPr="00B17C59">
              <w:rPr>
                <w:rFonts w:ascii="Arial" w:hAnsi="Arial" w:cs="Arial"/>
                <w:sz w:val="18"/>
                <w:szCs w:val="18"/>
              </w:rPr>
              <w:t xml:space="preserve">cademic </w:t>
            </w:r>
            <w:r>
              <w:rPr>
                <w:rFonts w:ascii="Arial" w:hAnsi="Arial" w:cs="Arial"/>
                <w:sz w:val="18"/>
                <w:szCs w:val="18"/>
              </w:rPr>
              <w:t>performance has</w:t>
            </w:r>
            <w:r w:rsidR="00E64561" w:rsidRPr="00B17C59">
              <w:rPr>
                <w:rFonts w:ascii="Arial" w:hAnsi="Arial" w:cs="Arial"/>
                <w:sz w:val="18"/>
                <w:szCs w:val="18"/>
              </w:rPr>
              <w:t xml:space="preserve"> been pleasing</w:t>
            </w:r>
            <w:r>
              <w:rPr>
                <w:rFonts w:ascii="Arial" w:hAnsi="Arial" w:cs="Arial"/>
                <w:sz w:val="18"/>
                <w:szCs w:val="18"/>
              </w:rPr>
              <w:t xml:space="preserve"> and</w:t>
            </w:r>
            <w:r w:rsidR="00E64561" w:rsidRPr="00B17C59">
              <w:rPr>
                <w:rFonts w:ascii="Arial" w:hAnsi="Arial" w:cs="Arial"/>
                <w:sz w:val="18"/>
                <w:szCs w:val="18"/>
              </w:rPr>
              <w:t xml:space="preserve"> it is particularly encouraging to report the upward growth in </w:t>
            </w:r>
            <w:r>
              <w:rPr>
                <w:rFonts w:ascii="Arial" w:hAnsi="Arial" w:cs="Arial"/>
                <w:sz w:val="18"/>
                <w:szCs w:val="18"/>
              </w:rPr>
              <w:t>achievement and</w:t>
            </w:r>
            <w:r w:rsidR="00E64561" w:rsidRPr="00B17C59">
              <w:rPr>
                <w:rFonts w:ascii="Arial" w:hAnsi="Arial" w:cs="Arial"/>
                <w:sz w:val="18"/>
                <w:szCs w:val="18"/>
              </w:rPr>
              <w:t xml:space="preserve"> success.</w:t>
            </w:r>
            <w:r>
              <w:rPr>
                <w:rFonts w:ascii="Arial" w:hAnsi="Arial" w:cs="Arial"/>
                <w:sz w:val="18"/>
                <w:szCs w:val="18"/>
              </w:rPr>
              <w:t xml:space="preserve"> Given class sizes are now larger</w:t>
            </w:r>
            <w:r w:rsidR="00BD7BFE">
              <w:rPr>
                <w:rFonts w:ascii="Arial" w:hAnsi="Arial" w:cs="Arial"/>
                <w:sz w:val="18"/>
                <w:szCs w:val="18"/>
              </w:rPr>
              <w:t>,</w:t>
            </w:r>
            <w:r>
              <w:rPr>
                <w:rFonts w:ascii="Arial" w:hAnsi="Arial" w:cs="Arial"/>
                <w:sz w:val="18"/>
                <w:szCs w:val="18"/>
              </w:rPr>
              <w:t xml:space="preserve"> t</w:t>
            </w:r>
            <w:r w:rsidR="00BD7BFE">
              <w:rPr>
                <w:rFonts w:ascii="Arial" w:hAnsi="Arial" w:cs="Arial"/>
                <w:sz w:val="18"/>
                <w:szCs w:val="18"/>
              </w:rPr>
              <w:t>he challenge is to deliver year-on-</w:t>
            </w:r>
            <w:r>
              <w:rPr>
                <w:rFonts w:ascii="Arial" w:hAnsi="Arial" w:cs="Arial"/>
                <w:sz w:val="18"/>
                <w:szCs w:val="18"/>
              </w:rPr>
              <w:t>year growth as measured by national</w:t>
            </w:r>
            <w:r w:rsidR="00AC3549">
              <w:rPr>
                <w:rFonts w:ascii="Arial" w:hAnsi="Arial" w:cs="Arial"/>
                <w:sz w:val="18"/>
                <w:szCs w:val="18"/>
              </w:rPr>
              <w:t xml:space="preserve"> and state</w:t>
            </w:r>
            <w:r>
              <w:rPr>
                <w:rFonts w:ascii="Arial" w:hAnsi="Arial" w:cs="Arial"/>
                <w:sz w:val="18"/>
                <w:szCs w:val="18"/>
              </w:rPr>
              <w:t xml:space="preserve"> benchmarks.</w:t>
            </w:r>
          </w:p>
          <w:p w14:paraId="1C5628EB" w14:textId="77777777" w:rsidR="00B17C59" w:rsidRPr="00B17C59" w:rsidRDefault="00B17C59" w:rsidP="00B17C59">
            <w:pPr>
              <w:rPr>
                <w:rFonts w:ascii="Arial" w:hAnsi="Arial" w:cs="Arial"/>
                <w:sz w:val="18"/>
                <w:szCs w:val="18"/>
              </w:rPr>
            </w:pPr>
          </w:p>
          <w:p w14:paraId="03E5016D" w14:textId="34CE96CC" w:rsidR="00EC6193" w:rsidRDefault="00B17C59" w:rsidP="00D520CC">
            <w:pPr>
              <w:rPr>
                <w:rFonts w:ascii="Arial" w:hAnsi="Arial" w:cs="Arial"/>
                <w:sz w:val="18"/>
                <w:szCs w:val="18"/>
              </w:rPr>
            </w:pPr>
            <w:r w:rsidRPr="00B17C59">
              <w:rPr>
                <w:rFonts w:ascii="Arial" w:hAnsi="Arial" w:cs="Arial"/>
                <w:sz w:val="18"/>
                <w:szCs w:val="18"/>
              </w:rPr>
              <w:t>The principle objective of the school</w:t>
            </w:r>
            <w:r w:rsidR="00DE72CD">
              <w:rPr>
                <w:rFonts w:ascii="Arial" w:hAnsi="Arial" w:cs="Arial"/>
                <w:sz w:val="18"/>
                <w:szCs w:val="18"/>
              </w:rPr>
              <w:t xml:space="preserve"> </w:t>
            </w:r>
            <w:r w:rsidRPr="00B17C59">
              <w:rPr>
                <w:rFonts w:ascii="Arial" w:hAnsi="Arial" w:cs="Arial"/>
                <w:sz w:val="18"/>
                <w:szCs w:val="18"/>
              </w:rPr>
              <w:t>is to promote and support healthy and holistic growth by implementing programs that enable each child to be challenged by the tasks set, to help build resilience and to experience and v</w:t>
            </w:r>
            <w:r w:rsidR="00EC6193">
              <w:rPr>
                <w:rFonts w:ascii="Arial" w:hAnsi="Arial" w:cs="Arial"/>
                <w:sz w:val="18"/>
                <w:szCs w:val="18"/>
              </w:rPr>
              <w:t>alue success</w:t>
            </w:r>
            <w:r w:rsidR="00B35B4C">
              <w:rPr>
                <w:rFonts w:ascii="Arial" w:hAnsi="Arial" w:cs="Arial"/>
                <w:sz w:val="18"/>
                <w:szCs w:val="18"/>
              </w:rPr>
              <w:t>.</w:t>
            </w:r>
          </w:p>
          <w:p w14:paraId="24544EE0" w14:textId="77777777" w:rsidR="00EC6193" w:rsidRDefault="00EC6193" w:rsidP="00D520CC">
            <w:pPr>
              <w:rPr>
                <w:rFonts w:ascii="Arial" w:hAnsi="Arial" w:cs="Arial"/>
                <w:sz w:val="18"/>
                <w:szCs w:val="18"/>
              </w:rPr>
            </w:pPr>
          </w:p>
          <w:p w14:paraId="52A68C65" w14:textId="77777777" w:rsidR="00D520CC" w:rsidRPr="006B3AF2" w:rsidRDefault="00D520CC" w:rsidP="00D520CC">
            <w:pPr>
              <w:rPr>
                <w:rFonts w:ascii="Arial" w:hAnsi="Arial" w:cs="Arial"/>
                <w:sz w:val="18"/>
                <w:szCs w:val="18"/>
              </w:rPr>
            </w:pPr>
          </w:p>
          <w:p w14:paraId="2DD7A514" w14:textId="26F214D6" w:rsidR="00B85BE6" w:rsidRPr="00D520CC" w:rsidRDefault="00B85BE6" w:rsidP="00B85BE6">
            <w:pPr>
              <w:rPr>
                <w:szCs w:val="18"/>
              </w:rPr>
            </w:pPr>
          </w:p>
        </w:tc>
        <w:tc>
          <w:tcPr>
            <w:tcW w:w="7229" w:type="dxa"/>
            <w:vMerge w:val="restart"/>
          </w:tcPr>
          <w:p w14:paraId="79B3CFD1" w14:textId="77777777" w:rsidR="00F34E18" w:rsidRPr="00574200" w:rsidRDefault="00F34E18" w:rsidP="00574200">
            <w:pPr>
              <w:spacing w:before="120"/>
              <w:rPr>
                <w:rFonts w:ascii="Arial" w:hAnsi="Arial" w:cs="Arial"/>
                <w:i/>
                <w:sz w:val="18"/>
                <w:szCs w:val="18"/>
              </w:rPr>
            </w:pPr>
            <w:r w:rsidRPr="00574200">
              <w:rPr>
                <w:rFonts w:ascii="Arial" w:hAnsi="Arial" w:cs="Arial"/>
                <w:i/>
                <w:sz w:val="18"/>
                <w:szCs w:val="18"/>
              </w:rPr>
              <w:t xml:space="preserve">Intent </w:t>
            </w:r>
          </w:p>
          <w:p w14:paraId="45FA1DF7" w14:textId="275C7209" w:rsidR="00D50292" w:rsidRPr="00574200" w:rsidRDefault="00D50292" w:rsidP="00574200">
            <w:pPr>
              <w:spacing w:before="60"/>
              <w:rPr>
                <w:rFonts w:ascii="Arial" w:hAnsi="Arial" w:cs="Arial"/>
                <w:b/>
                <w:sz w:val="18"/>
                <w:szCs w:val="18"/>
              </w:rPr>
            </w:pPr>
            <w:r w:rsidRPr="00574200">
              <w:rPr>
                <w:rFonts w:ascii="Arial" w:hAnsi="Arial" w:cs="Arial"/>
                <w:b/>
                <w:sz w:val="18"/>
                <w:szCs w:val="18"/>
              </w:rPr>
              <w:t>FISO</w:t>
            </w:r>
          </w:p>
          <w:p w14:paraId="4E100C75" w14:textId="1CAA0D83" w:rsidR="00F34E18" w:rsidRPr="00574200" w:rsidRDefault="00245C64" w:rsidP="00574200">
            <w:pPr>
              <w:spacing w:before="60"/>
              <w:rPr>
                <w:rFonts w:ascii="Arial" w:hAnsi="Arial" w:cs="Arial"/>
                <w:color w:val="000000" w:themeColor="text1"/>
                <w:sz w:val="18"/>
                <w:szCs w:val="18"/>
              </w:rPr>
            </w:pPr>
            <w:r w:rsidRPr="00574200">
              <w:rPr>
                <w:rFonts w:ascii="Arial" w:hAnsi="Arial" w:cs="Arial"/>
                <w:color w:val="000000" w:themeColor="text1"/>
                <w:sz w:val="18"/>
                <w:szCs w:val="18"/>
              </w:rPr>
              <w:t>To have all documents and actions fully aligned with FISO to collectively bui</w:t>
            </w:r>
            <w:r w:rsidR="00574200" w:rsidRPr="00574200">
              <w:rPr>
                <w:rFonts w:ascii="Arial" w:hAnsi="Arial" w:cs="Arial"/>
                <w:color w:val="000000" w:themeColor="text1"/>
                <w:sz w:val="18"/>
                <w:szCs w:val="18"/>
              </w:rPr>
              <w:t>ld the capacity of the school to</w:t>
            </w:r>
            <w:r w:rsidRPr="00574200">
              <w:rPr>
                <w:rFonts w:ascii="Arial" w:hAnsi="Arial" w:cs="Arial"/>
                <w:color w:val="000000" w:themeColor="text1"/>
                <w:sz w:val="18"/>
                <w:szCs w:val="18"/>
              </w:rPr>
              <w:t xml:space="preserve"> deliver more effective teaching, improved learning and improved schooling outcomes.</w:t>
            </w:r>
          </w:p>
          <w:p w14:paraId="5BE16733" w14:textId="77777777" w:rsidR="00574200" w:rsidRPr="00574200" w:rsidRDefault="00574200" w:rsidP="00574200">
            <w:pPr>
              <w:rPr>
                <w:rFonts w:ascii="Arial" w:hAnsi="Arial" w:cs="Arial"/>
                <w:sz w:val="18"/>
                <w:szCs w:val="18"/>
              </w:rPr>
            </w:pPr>
          </w:p>
          <w:p w14:paraId="5A9619E3" w14:textId="77777777" w:rsidR="00D50292" w:rsidRPr="00574200" w:rsidRDefault="00D50292" w:rsidP="00574200">
            <w:pPr>
              <w:rPr>
                <w:rFonts w:ascii="Arial" w:hAnsi="Arial" w:cs="Arial"/>
                <w:i/>
                <w:sz w:val="18"/>
                <w:szCs w:val="18"/>
              </w:rPr>
            </w:pPr>
            <w:r w:rsidRPr="00574200">
              <w:rPr>
                <w:rFonts w:ascii="Arial" w:hAnsi="Arial" w:cs="Arial"/>
                <w:i/>
                <w:sz w:val="18"/>
                <w:szCs w:val="18"/>
              </w:rPr>
              <w:t>Rationale</w:t>
            </w:r>
          </w:p>
          <w:p w14:paraId="0B4A1C02" w14:textId="77777777" w:rsidR="00D50292" w:rsidRPr="00574200" w:rsidRDefault="00D50292" w:rsidP="00574200">
            <w:pPr>
              <w:pStyle w:val="Table-Entry"/>
              <w:spacing w:before="60"/>
              <w:rPr>
                <w:b/>
                <w:color w:val="auto"/>
              </w:rPr>
            </w:pPr>
            <w:r w:rsidRPr="00574200">
              <w:rPr>
                <w:b/>
                <w:color w:val="auto"/>
              </w:rPr>
              <w:t>FISO</w:t>
            </w:r>
          </w:p>
          <w:p w14:paraId="05BF17CB" w14:textId="70E52CE7" w:rsidR="00D50292" w:rsidRPr="00574200" w:rsidRDefault="00D50292" w:rsidP="00574200">
            <w:pPr>
              <w:pStyle w:val="Table-Entry"/>
              <w:spacing w:before="60"/>
              <w:rPr>
                <w:color w:val="auto"/>
              </w:rPr>
            </w:pPr>
            <w:r w:rsidRPr="00574200">
              <w:rPr>
                <w:color w:val="auto"/>
              </w:rPr>
              <w:t xml:space="preserve">If staff have a better understanding of, and alignment with FISO, they will be able to provide clearer, </w:t>
            </w:r>
            <w:r w:rsidR="00EB536F">
              <w:rPr>
                <w:color w:val="auto"/>
              </w:rPr>
              <w:t>better-</w:t>
            </w:r>
            <w:r w:rsidRPr="00574200">
              <w:rPr>
                <w:color w:val="auto"/>
              </w:rPr>
              <w:t xml:space="preserve">structured and </w:t>
            </w:r>
            <w:r w:rsidR="00EB536F">
              <w:rPr>
                <w:color w:val="auto"/>
              </w:rPr>
              <w:t xml:space="preserve">more </w:t>
            </w:r>
            <w:r w:rsidRPr="00574200">
              <w:rPr>
                <w:color w:val="auto"/>
              </w:rPr>
              <w:t>effective curriculum programs for students</w:t>
            </w:r>
            <w:r w:rsidR="00EB536F">
              <w:rPr>
                <w:color w:val="auto"/>
              </w:rPr>
              <w:t>, which will lead to improved</w:t>
            </w:r>
            <w:r w:rsidRPr="00574200">
              <w:rPr>
                <w:color w:val="auto"/>
              </w:rPr>
              <w:t xml:space="preserve"> student outcomes.</w:t>
            </w:r>
          </w:p>
          <w:p w14:paraId="1DF42542" w14:textId="77777777" w:rsidR="00574200" w:rsidRPr="00574200" w:rsidRDefault="00574200" w:rsidP="00574200">
            <w:pPr>
              <w:rPr>
                <w:rFonts w:ascii="Arial" w:hAnsi="Arial" w:cs="Arial"/>
                <w:i/>
                <w:color w:val="000000" w:themeColor="text1"/>
                <w:sz w:val="18"/>
                <w:szCs w:val="18"/>
              </w:rPr>
            </w:pPr>
          </w:p>
          <w:p w14:paraId="3AAABFE4" w14:textId="5264F2AF" w:rsidR="00245C64" w:rsidRPr="00574200" w:rsidRDefault="00D50292" w:rsidP="00574200">
            <w:pPr>
              <w:rPr>
                <w:rFonts w:ascii="Arial" w:hAnsi="Arial" w:cs="Arial"/>
                <w:i/>
                <w:color w:val="000000" w:themeColor="text1"/>
                <w:sz w:val="18"/>
                <w:szCs w:val="18"/>
              </w:rPr>
            </w:pPr>
            <w:r w:rsidRPr="00574200">
              <w:rPr>
                <w:rFonts w:ascii="Arial" w:hAnsi="Arial" w:cs="Arial"/>
                <w:i/>
                <w:color w:val="000000" w:themeColor="text1"/>
                <w:sz w:val="18"/>
                <w:szCs w:val="18"/>
              </w:rPr>
              <w:t xml:space="preserve">Intent </w:t>
            </w:r>
          </w:p>
          <w:p w14:paraId="208F8CED" w14:textId="3E1E28C7" w:rsidR="00D50292" w:rsidRPr="00574200" w:rsidRDefault="00D50292" w:rsidP="00574200">
            <w:pPr>
              <w:spacing w:before="60"/>
              <w:rPr>
                <w:rFonts w:ascii="Arial" w:hAnsi="Arial" w:cs="Arial"/>
                <w:b/>
                <w:color w:val="000000" w:themeColor="text1"/>
                <w:sz w:val="18"/>
                <w:szCs w:val="18"/>
              </w:rPr>
            </w:pPr>
            <w:r w:rsidRPr="00574200">
              <w:rPr>
                <w:rFonts w:ascii="Arial" w:hAnsi="Arial" w:cs="Arial"/>
                <w:b/>
                <w:color w:val="000000" w:themeColor="text1"/>
                <w:sz w:val="18"/>
                <w:szCs w:val="18"/>
              </w:rPr>
              <w:t>Teaching and Learning</w:t>
            </w:r>
          </w:p>
          <w:p w14:paraId="0F006FA9" w14:textId="3DB4FBCB" w:rsidR="00D50292" w:rsidRPr="00574200" w:rsidRDefault="00245C64" w:rsidP="00574200">
            <w:pPr>
              <w:spacing w:before="60"/>
              <w:rPr>
                <w:rFonts w:ascii="Arial" w:hAnsi="Arial" w:cs="Arial"/>
                <w:color w:val="000000" w:themeColor="text1"/>
                <w:sz w:val="18"/>
                <w:szCs w:val="18"/>
              </w:rPr>
            </w:pPr>
            <w:r w:rsidRPr="00574200">
              <w:rPr>
                <w:rFonts w:ascii="Arial" w:hAnsi="Arial" w:cs="Arial"/>
                <w:color w:val="000000" w:themeColor="text1"/>
                <w:sz w:val="18"/>
                <w:szCs w:val="18"/>
              </w:rPr>
              <w:t>To develop a culture of highly effective teaching and learning so all students demonstrate growth of at least one year in all twelve month periods of the strategic plan</w:t>
            </w:r>
            <w:r w:rsidR="00D50292" w:rsidRPr="00574200">
              <w:rPr>
                <w:rFonts w:ascii="Arial" w:hAnsi="Arial" w:cs="Arial"/>
                <w:color w:val="000000" w:themeColor="text1"/>
                <w:sz w:val="18"/>
                <w:szCs w:val="18"/>
              </w:rPr>
              <w:t>.</w:t>
            </w:r>
          </w:p>
          <w:p w14:paraId="6D4CF728" w14:textId="77777777" w:rsidR="00CD2BE2" w:rsidRPr="00574200" w:rsidRDefault="00CD2BE2" w:rsidP="00574200">
            <w:pPr>
              <w:rPr>
                <w:rFonts w:ascii="Arial" w:hAnsi="Arial" w:cs="Arial"/>
                <w:color w:val="000000" w:themeColor="text1"/>
                <w:sz w:val="18"/>
                <w:szCs w:val="18"/>
              </w:rPr>
            </w:pPr>
          </w:p>
          <w:p w14:paraId="439059A8" w14:textId="400FBC7B" w:rsidR="00245C64" w:rsidRPr="00574200" w:rsidRDefault="00860586" w:rsidP="00574200">
            <w:pPr>
              <w:rPr>
                <w:rFonts w:ascii="Arial" w:hAnsi="Arial" w:cs="Arial"/>
                <w:i/>
                <w:color w:val="000000" w:themeColor="text1"/>
                <w:sz w:val="18"/>
                <w:szCs w:val="18"/>
              </w:rPr>
            </w:pPr>
            <w:r>
              <w:rPr>
                <w:rFonts w:ascii="Arial" w:hAnsi="Arial" w:cs="Arial"/>
                <w:i/>
                <w:color w:val="000000" w:themeColor="text1"/>
                <w:sz w:val="18"/>
                <w:szCs w:val="18"/>
              </w:rPr>
              <w:t>Rationale</w:t>
            </w:r>
            <w:r w:rsidR="00245C64" w:rsidRPr="00574200">
              <w:rPr>
                <w:rFonts w:ascii="Arial" w:hAnsi="Arial" w:cs="Arial"/>
                <w:i/>
                <w:color w:val="000000" w:themeColor="text1"/>
                <w:sz w:val="18"/>
                <w:szCs w:val="18"/>
              </w:rPr>
              <w:t xml:space="preserve"> </w:t>
            </w:r>
          </w:p>
          <w:p w14:paraId="3A07637E" w14:textId="25EE6735" w:rsidR="00DB3EB6" w:rsidRPr="00574200" w:rsidRDefault="00DB3EB6" w:rsidP="00574200">
            <w:pPr>
              <w:pStyle w:val="Table-Entry"/>
              <w:spacing w:before="60"/>
              <w:rPr>
                <w:b/>
                <w:color w:val="auto"/>
              </w:rPr>
            </w:pPr>
            <w:r w:rsidRPr="00574200">
              <w:rPr>
                <w:b/>
                <w:color w:val="auto"/>
              </w:rPr>
              <w:t xml:space="preserve">Teaching and Learning </w:t>
            </w:r>
          </w:p>
          <w:p w14:paraId="40FA77B4" w14:textId="77777777" w:rsidR="00DB3EB6" w:rsidRPr="00574200" w:rsidRDefault="00DB3EB6" w:rsidP="00574200">
            <w:pPr>
              <w:pStyle w:val="Table-Entry"/>
              <w:spacing w:before="60"/>
              <w:rPr>
                <w:color w:val="404040" w:themeColor="text1" w:themeTint="BF"/>
                <w:highlight w:val="lightGray"/>
              </w:rPr>
            </w:pPr>
            <w:r w:rsidRPr="00574200">
              <w:rPr>
                <w:color w:val="auto"/>
              </w:rPr>
              <w:t>A continuation of the strong focus on building teacher capacity in their knowledge, understanding and consistent application of curriculum content, pedagogy and data analysis, will allow further opportunity to improve student learning outcomes at the school.</w:t>
            </w:r>
          </w:p>
          <w:p w14:paraId="6206FBE5" w14:textId="77777777" w:rsidR="00DB3EB6" w:rsidRPr="00574200" w:rsidRDefault="00DB3EB6" w:rsidP="00574200">
            <w:pPr>
              <w:pStyle w:val="Table-Entry"/>
              <w:rPr>
                <w:b/>
                <w:color w:val="auto"/>
              </w:rPr>
            </w:pPr>
          </w:p>
          <w:p w14:paraId="260F3B7A" w14:textId="77777777" w:rsidR="00D50292" w:rsidRPr="00574200" w:rsidRDefault="00D50292" w:rsidP="00574200">
            <w:pPr>
              <w:pStyle w:val="Table-Entry"/>
              <w:spacing w:before="60"/>
              <w:rPr>
                <w:i/>
                <w:color w:val="auto"/>
              </w:rPr>
            </w:pPr>
            <w:r w:rsidRPr="00574200">
              <w:rPr>
                <w:i/>
                <w:color w:val="auto"/>
              </w:rPr>
              <w:t xml:space="preserve">Intent </w:t>
            </w:r>
          </w:p>
          <w:p w14:paraId="37941EDB" w14:textId="77777777" w:rsidR="00D50292" w:rsidRPr="00574200" w:rsidRDefault="00D50292" w:rsidP="00574200">
            <w:pPr>
              <w:pStyle w:val="Table-Entry"/>
              <w:spacing w:before="60"/>
              <w:rPr>
                <w:b/>
                <w:color w:val="auto"/>
              </w:rPr>
            </w:pPr>
            <w:r w:rsidRPr="00574200">
              <w:rPr>
                <w:b/>
                <w:color w:val="auto"/>
              </w:rPr>
              <w:t>Teaching and Learning</w:t>
            </w:r>
          </w:p>
          <w:p w14:paraId="2B340563" w14:textId="3315D8BC" w:rsidR="00D50292" w:rsidRPr="00574200" w:rsidRDefault="00D50292" w:rsidP="00574200">
            <w:pPr>
              <w:pStyle w:val="Table-Entry"/>
              <w:spacing w:before="60"/>
              <w:rPr>
                <w:color w:val="auto"/>
              </w:rPr>
            </w:pPr>
            <w:r w:rsidRPr="00574200">
              <w:rPr>
                <w:color w:val="auto"/>
              </w:rPr>
              <w:t>To empower staff to lift student achievement through building teacher capacity in knowledge of curriculum content, pedagogical knowledge and data literacy</w:t>
            </w:r>
            <w:r w:rsidR="00860586">
              <w:rPr>
                <w:color w:val="auto"/>
              </w:rPr>
              <w:t>.</w:t>
            </w:r>
          </w:p>
          <w:p w14:paraId="65B33B57" w14:textId="77777777" w:rsidR="00CD2BE2" w:rsidRPr="00574200" w:rsidRDefault="00CD2BE2" w:rsidP="00574200">
            <w:pPr>
              <w:rPr>
                <w:rFonts w:ascii="Arial" w:hAnsi="Arial" w:cs="Arial"/>
                <w:color w:val="000000" w:themeColor="text1"/>
                <w:sz w:val="18"/>
                <w:szCs w:val="18"/>
              </w:rPr>
            </w:pPr>
          </w:p>
          <w:p w14:paraId="0B86B53C" w14:textId="470CF918" w:rsidR="00D50292" w:rsidRPr="00574200" w:rsidRDefault="00860586" w:rsidP="00574200">
            <w:pPr>
              <w:spacing w:before="60"/>
              <w:rPr>
                <w:rFonts w:ascii="Arial" w:hAnsi="Arial" w:cs="Arial"/>
                <w:i/>
                <w:color w:val="000000" w:themeColor="text1"/>
                <w:sz w:val="18"/>
                <w:szCs w:val="18"/>
              </w:rPr>
            </w:pPr>
            <w:r>
              <w:rPr>
                <w:rFonts w:ascii="Arial" w:hAnsi="Arial" w:cs="Arial"/>
                <w:i/>
                <w:color w:val="000000" w:themeColor="text1"/>
                <w:sz w:val="18"/>
                <w:szCs w:val="18"/>
              </w:rPr>
              <w:t>Rationale</w:t>
            </w:r>
            <w:r w:rsidR="00D50292" w:rsidRPr="00574200">
              <w:rPr>
                <w:rFonts w:ascii="Arial" w:hAnsi="Arial" w:cs="Arial"/>
                <w:i/>
                <w:color w:val="000000" w:themeColor="text1"/>
                <w:sz w:val="18"/>
                <w:szCs w:val="18"/>
              </w:rPr>
              <w:t xml:space="preserve"> </w:t>
            </w:r>
          </w:p>
          <w:p w14:paraId="49E36EE7" w14:textId="77777777" w:rsidR="00D50292" w:rsidRPr="00574200" w:rsidRDefault="00D50292" w:rsidP="00574200">
            <w:pPr>
              <w:pStyle w:val="Table-Entry"/>
              <w:spacing w:before="60"/>
              <w:rPr>
                <w:b/>
                <w:color w:val="auto"/>
              </w:rPr>
            </w:pPr>
            <w:r w:rsidRPr="00574200">
              <w:rPr>
                <w:b/>
                <w:color w:val="auto"/>
              </w:rPr>
              <w:t xml:space="preserve">Teaching and Learning </w:t>
            </w:r>
          </w:p>
          <w:p w14:paraId="35225EEC" w14:textId="7BE40CC9" w:rsidR="00D50292" w:rsidRPr="00574200" w:rsidRDefault="00D50292" w:rsidP="00574200">
            <w:pPr>
              <w:pStyle w:val="Table-Entry"/>
              <w:spacing w:before="60"/>
              <w:rPr>
                <w:color w:val="404040" w:themeColor="text1" w:themeTint="BF"/>
                <w:highlight w:val="lightGray"/>
              </w:rPr>
            </w:pPr>
            <w:r w:rsidRPr="00574200">
              <w:rPr>
                <w:color w:val="auto"/>
              </w:rPr>
              <w:t>A continuation of the strong focus on building teacher capacity in their knowledge, understanding and consistent application of curriculum content, pedagogy and data analysis, will allow further opportunity to improve student learning outcomes at the school.</w:t>
            </w:r>
            <w:r w:rsidR="00860586">
              <w:rPr>
                <w:color w:val="auto"/>
              </w:rPr>
              <w:t xml:space="preserve"> </w:t>
            </w:r>
          </w:p>
          <w:p w14:paraId="1A566335" w14:textId="77777777" w:rsidR="00D50292" w:rsidRDefault="00D50292" w:rsidP="00574200">
            <w:pPr>
              <w:pStyle w:val="Table-Entry"/>
              <w:spacing w:before="60"/>
              <w:rPr>
                <w:b/>
                <w:color w:val="auto"/>
              </w:rPr>
            </w:pPr>
          </w:p>
          <w:p w14:paraId="6294126B" w14:textId="77777777" w:rsidR="00D50292" w:rsidRPr="00CD2BE2" w:rsidRDefault="00D50292" w:rsidP="00574200">
            <w:pPr>
              <w:pStyle w:val="Table-Entry"/>
              <w:spacing w:before="60"/>
              <w:rPr>
                <w:rFonts w:asciiTheme="minorHAnsi" w:hAnsiTheme="minorHAnsi"/>
                <w:i/>
                <w:color w:val="auto"/>
                <w:sz w:val="24"/>
                <w:szCs w:val="24"/>
              </w:rPr>
            </w:pPr>
            <w:r w:rsidRPr="00CD2BE2">
              <w:rPr>
                <w:rFonts w:asciiTheme="minorHAnsi" w:hAnsiTheme="minorHAnsi"/>
                <w:i/>
                <w:color w:val="auto"/>
                <w:sz w:val="24"/>
                <w:szCs w:val="24"/>
              </w:rPr>
              <w:t xml:space="preserve">Intent </w:t>
            </w:r>
          </w:p>
          <w:p w14:paraId="65E3E880" w14:textId="655C412A" w:rsidR="00DB3EB6" w:rsidRDefault="00D50292" w:rsidP="00574200">
            <w:pPr>
              <w:pStyle w:val="Table-Entry"/>
              <w:spacing w:before="60"/>
              <w:rPr>
                <w:b/>
                <w:color w:val="auto"/>
              </w:rPr>
            </w:pPr>
            <w:r>
              <w:rPr>
                <w:b/>
                <w:color w:val="auto"/>
              </w:rPr>
              <w:t xml:space="preserve">Student </w:t>
            </w:r>
            <w:r w:rsidR="00DB3EB6" w:rsidRPr="00181AE8">
              <w:rPr>
                <w:b/>
                <w:color w:val="auto"/>
              </w:rPr>
              <w:t xml:space="preserve">Engagement </w:t>
            </w:r>
          </w:p>
          <w:p w14:paraId="7DE6E419" w14:textId="7F367345" w:rsidR="00D50292" w:rsidRPr="00D50292" w:rsidRDefault="00D50292" w:rsidP="00574200">
            <w:pPr>
              <w:pStyle w:val="Table-Entry"/>
              <w:spacing w:before="60"/>
              <w:rPr>
                <w:color w:val="auto"/>
              </w:rPr>
            </w:pPr>
            <w:r w:rsidRPr="00D50292">
              <w:rPr>
                <w:color w:val="auto"/>
              </w:rPr>
              <w:t>To develop student</w:t>
            </w:r>
            <w:r w:rsidR="00860586">
              <w:rPr>
                <w:color w:val="auto"/>
              </w:rPr>
              <w:t>s’</w:t>
            </w:r>
            <w:r w:rsidRPr="00D50292">
              <w:rPr>
                <w:color w:val="auto"/>
              </w:rPr>
              <w:t xml:space="preserve"> resilience and confidence</w:t>
            </w:r>
            <w:r w:rsidR="00860586">
              <w:rPr>
                <w:color w:val="auto"/>
              </w:rPr>
              <w:t>, and</w:t>
            </w:r>
            <w:r w:rsidRPr="00D50292">
              <w:rPr>
                <w:color w:val="auto"/>
              </w:rPr>
              <w:t xml:space="preserve"> enable them to participate effectively in the school community and the range of situation</w:t>
            </w:r>
            <w:r w:rsidR="00860586">
              <w:rPr>
                <w:color w:val="auto"/>
              </w:rPr>
              <w:t>s</w:t>
            </w:r>
            <w:r w:rsidRPr="00D50292">
              <w:rPr>
                <w:color w:val="auto"/>
              </w:rPr>
              <w:t xml:space="preserve"> they may</w:t>
            </w:r>
            <w:r w:rsidR="00860586">
              <w:rPr>
                <w:color w:val="auto"/>
              </w:rPr>
              <w:t xml:space="preserve"> encounter</w:t>
            </w:r>
            <w:r w:rsidRPr="00D50292">
              <w:rPr>
                <w:color w:val="auto"/>
              </w:rPr>
              <w:t xml:space="preserve"> in the wider community.</w:t>
            </w:r>
          </w:p>
          <w:p w14:paraId="1F3CD608" w14:textId="77777777" w:rsidR="00D50292" w:rsidRDefault="00D50292" w:rsidP="00574200">
            <w:pPr>
              <w:pStyle w:val="Table-Entry"/>
              <w:spacing w:before="60"/>
              <w:rPr>
                <w:b/>
                <w:color w:val="auto"/>
              </w:rPr>
            </w:pPr>
          </w:p>
          <w:p w14:paraId="7BEBA85A" w14:textId="57BCF08C" w:rsidR="00D50292" w:rsidRPr="00CD2BE2" w:rsidRDefault="00D50292" w:rsidP="00574200">
            <w:pPr>
              <w:pStyle w:val="Table-Entry"/>
              <w:spacing w:before="60"/>
              <w:rPr>
                <w:rFonts w:asciiTheme="minorHAnsi" w:hAnsiTheme="minorHAnsi"/>
                <w:i/>
                <w:color w:val="auto"/>
                <w:sz w:val="24"/>
                <w:szCs w:val="24"/>
              </w:rPr>
            </w:pPr>
            <w:r w:rsidRPr="00CD2BE2">
              <w:rPr>
                <w:rFonts w:asciiTheme="minorHAnsi" w:hAnsiTheme="minorHAnsi"/>
                <w:i/>
                <w:color w:val="auto"/>
                <w:sz w:val="24"/>
                <w:szCs w:val="24"/>
              </w:rPr>
              <w:t>Rational</w:t>
            </w:r>
            <w:r w:rsidR="00860586">
              <w:rPr>
                <w:rFonts w:asciiTheme="minorHAnsi" w:hAnsiTheme="minorHAnsi"/>
                <w:i/>
                <w:color w:val="auto"/>
                <w:sz w:val="24"/>
                <w:szCs w:val="24"/>
              </w:rPr>
              <w:t>e</w:t>
            </w:r>
            <w:r w:rsidRPr="00CD2BE2">
              <w:rPr>
                <w:rFonts w:asciiTheme="minorHAnsi" w:hAnsiTheme="minorHAnsi"/>
                <w:i/>
                <w:color w:val="auto"/>
                <w:sz w:val="24"/>
                <w:szCs w:val="24"/>
              </w:rPr>
              <w:t xml:space="preserve"> </w:t>
            </w:r>
          </w:p>
          <w:p w14:paraId="430A77E3" w14:textId="1D9EBB4E" w:rsidR="00DB3EB6" w:rsidRPr="00181AE8" w:rsidRDefault="00DB3EB6" w:rsidP="00574200">
            <w:pPr>
              <w:pStyle w:val="Table-Entry"/>
              <w:spacing w:before="60"/>
              <w:rPr>
                <w:color w:val="auto"/>
              </w:rPr>
            </w:pPr>
            <w:r w:rsidRPr="00181AE8">
              <w:rPr>
                <w:color w:val="auto"/>
              </w:rPr>
              <w:t>Progressive learning practices that increase student motivation, engagement and connectedness have the capacity to improve learning outcomes.</w:t>
            </w:r>
          </w:p>
          <w:p w14:paraId="684EBE53" w14:textId="77777777" w:rsidR="00DB3EB6" w:rsidRDefault="00DB3EB6" w:rsidP="00574200">
            <w:pPr>
              <w:pStyle w:val="Table-Entry"/>
              <w:spacing w:before="60"/>
              <w:rPr>
                <w:rFonts w:ascii="Verdana" w:hAnsi="Verdana"/>
                <w:color w:val="auto"/>
              </w:rPr>
            </w:pPr>
          </w:p>
          <w:p w14:paraId="7ACEDCBE" w14:textId="140D8CD8" w:rsidR="00181AE8" w:rsidRPr="00CD2BE2" w:rsidRDefault="00181AE8" w:rsidP="00574200">
            <w:pPr>
              <w:pStyle w:val="Table-Entry"/>
              <w:spacing w:before="60"/>
              <w:rPr>
                <w:rFonts w:asciiTheme="minorHAnsi" w:hAnsiTheme="minorHAnsi"/>
                <w:i/>
                <w:color w:val="auto"/>
                <w:sz w:val="24"/>
                <w:szCs w:val="24"/>
              </w:rPr>
            </w:pPr>
            <w:r w:rsidRPr="00B44E71">
              <w:rPr>
                <w:rFonts w:asciiTheme="minorHAnsi" w:hAnsiTheme="minorHAnsi"/>
                <w:i/>
                <w:color w:val="auto"/>
                <w:sz w:val="24"/>
                <w:szCs w:val="24"/>
              </w:rPr>
              <w:lastRenderedPageBreak/>
              <w:t>Focus</w:t>
            </w:r>
          </w:p>
          <w:p w14:paraId="262A6866" w14:textId="29AD5815" w:rsidR="00245C64" w:rsidRPr="00D50292" w:rsidRDefault="00ED1251" w:rsidP="00574200">
            <w:pPr>
              <w:spacing w:before="60"/>
              <w:rPr>
                <w:rFonts w:ascii="Arial" w:hAnsi="Arial" w:cs="Arial"/>
                <w:sz w:val="18"/>
                <w:szCs w:val="18"/>
              </w:rPr>
            </w:pPr>
            <w:r w:rsidRPr="00D50292">
              <w:rPr>
                <w:rFonts w:ascii="Arial" w:hAnsi="Arial" w:cs="Arial"/>
                <w:sz w:val="18"/>
                <w:szCs w:val="18"/>
              </w:rPr>
              <w:t>Creating a school culture</w:t>
            </w:r>
            <w:r w:rsidR="003D5475" w:rsidRPr="00D50292">
              <w:rPr>
                <w:rFonts w:ascii="Arial" w:hAnsi="Arial" w:cs="Arial"/>
                <w:sz w:val="18"/>
                <w:szCs w:val="18"/>
              </w:rPr>
              <w:t xml:space="preserve"> of trus</w:t>
            </w:r>
            <w:r w:rsidR="00516CC7">
              <w:rPr>
                <w:rFonts w:ascii="Arial" w:hAnsi="Arial" w:cs="Arial"/>
                <w:sz w:val="18"/>
                <w:szCs w:val="18"/>
              </w:rPr>
              <w:t>t and high expectations</w:t>
            </w:r>
            <w:r w:rsidR="00792BED" w:rsidRPr="00D50292">
              <w:rPr>
                <w:rFonts w:ascii="Arial" w:hAnsi="Arial" w:cs="Arial"/>
                <w:sz w:val="18"/>
                <w:szCs w:val="18"/>
              </w:rPr>
              <w:t xml:space="preserve"> for all </w:t>
            </w:r>
            <w:r w:rsidR="0055736E" w:rsidRPr="00D50292">
              <w:rPr>
                <w:rFonts w:ascii="Arial" w:hAnsi="Arial" w:cs="Arial"/>
                <w:sz w:val="18"/>
                <w:szCs w:val="18"/>
              </w:rPr>
              <w:t xml:space="preserve">our students and </w:t>
            </w:r>
            <w:r w:rsidR="00792BED" w:rsidRPr="00D50292">
              <w:rPr>
                <w:rFonts w:ascii="Arial" w:hAnsi="Arial" w:cs="Arial"/>
                <w:sz w:val="18"/>
                <w:szCs w:val="18"/>
              </w:rPr>
              <w:t>community members</w:t>
            </w:r>
            <w:r w:rsidR="0055736E" w:rsidRPr="00D50292">
              <w:rPr>
                <w:rFonts w:ascii="Arial" w:hAnsi="Arial" w:cs="Arial"/>
                <w:sz w:val="18"/>
                <w:szCs w:val="18"/>
              </w:rPr>
              <w:t>.</w:t>
            </w:r>
            <w:r w:rsidR="00245C64" w:rsidRPr="00D50292">
              <w:rPr>
                <w:rFonts w:ascii="Arial" w:hAnsi="Arial" w:cs="Arial"/>
                <w:sz w:val="18"/>
                <w:szCs w:val="18"/>
              </w:rPr>
              <w:t xml:space="preserve"> </w:t>
            </w:r>
          </w:p>
          <w:p w14:paraId="7C87A764" w14:textId="77777777" w:rsidR="00245C64" w:rsidRDefault="00245C64" w:rsidP="00574200">
            <w:pPr>
              <w:spacing w:before="60"/>
              <w:rPr>
                <w:rFonts w:ascii="Arial" w:hAnsi="Arial" w:cs="Arial"/>
                <w:sz w:val="18"/>
                <w:szCs w:val="18"/>
              </w:rPr>
            </w:pPr>
          </w:p>
          <w:p w14:paraId="20BC0C8C" w14:textId="3FDAE62F" w:rsidR="00245C64" w:rsidRDefault="00245C64" w:rsidP="00574200">
            <w:pPr>
              <w:spacing w:before="60"/>
              <w:rPr>
                <w:rFonts w:ascii="Arial" w:hAnsi="Arial" w:cs="Arial"/>
                <w:sz w:val="18"/>
                <w:szCs w:val="18"/>
              </w:rPr>
            </w:pPr>
            <w:r w:rsidRPr="00181AE8">
              <w:rPr>
                <w:rFonts w:ascii="Arial" w:hAnsi="Arial" w:cs="Arial"/>
                <w:sz w:val="18"/>
                <w:szCs w:val="18"/>
              </w:rPr>
              <w:t xml:space="preserve">Continue to build teacher </w:t>
            </w:r>
            <w:r>
              <w:rPr>
                <w:rFonts w:ascii="Arial" w:hAnsi="Arial" w:cs="Arial"/>
                <w:sz w:val="18"/>
                <w:szCs w:val="18"/>
              </w:rPr>
              <w:t xml:space="preserve">capacity and </w:t>
            </w:r>
            <w:r w:rsidRPr="00181AE8">
              <w:rPr>
                <w:rFonts w:ascii="Arial" w:hAnsi="Arial" w:cs="Arial"/>
                <w:sz w:val="18"/>
                <w:szCs w:val="18"/>
              </w:rPr>
              <w:t xml:space="preserve">understanding of Victorian Curriculum content and gain confidence, and competence, </w:t>
            </w:r>
            <w:r w:rsidRPr="00212B6C">
              <w:rPr>
                <w:rFonts w:ascii="Arial" w:hAnsi="Arial" w:cs="Arial"/>
                <w:sz w:val="18"/>
                <w:szCs w:val="18"/>
              </w:rPr>
              <w:t>in making</w:t>
            </w:r>
            <w:r w:rsidRPr="00181AE8">
              <w:rPr>
                <w:rFonts w:ascii="Arial" w:hAnsi="Arial" w:cs="Arial"/>
                <w:sz w:val="18"/>
                <w:szCs w:val="18"/>
              </w:rPr>
              <w:t xml:space="preserve"> accurate Victorian Curriculum judgements</w:t>
            </w:r>
            <w:r w:rsidR="00212B6C">
              <w:rPr>
                <w:rFonts w:ascii="Arial" w:hAnsi="Arial" w:cs="Arial"/>
                <w:sz w:val="18"/>
                <w:szCs w:val="18"/>
              </w:rPr>
              <w:t xml:space="preserve"> in order</w:t>
            </w:r>
            <w:r w:rsidRPr="00181AE8">
              <w:rPr>
                <w:rFonts w:ascii="Arial" w:hAnsi="Arial" w:cs="Arial"/>
                <w:sz w:val="18"/>
                <w:szCs w:val="18"/>
              </w:rPr>
              <w:t xml:space="preserve"> to bridge any perceived gaps between NAPLAN and Victorian Curriculum data.</w:t>
            </w:r>
            <w:r w:rsidR="00024F96">
              <w:rPr>
                <w:rFonts w:ascii="Arial" w:hAnsi="Arial" w:cs="Arial"/>
                <w:sz w:val="18"/>
                <w:szCs w:val="18"/>
              </w:rPr>
              <w:t xml:space="preserve"> </w:t>
            </w:r>
          </w:p>
          <w:p w14:paraId="693A20F6" w14:textId="77777777" w:rsidR="00245C64" w:rsidRPr="00181AE8" w:rsidRDefault="00245C64" w:rsidP="00574200">
            <w:pPr>
              <w:spacing w:before="60"/>
              <w:rPr>
                <w:rFonts w:ascii="Arial" w:hAnsi="Arial" w:cs="Arial"/>
                <w:sz w:val="18"/>
                <w:szCs w:val="18"/>
              </w:rPr>
            </w:pPr>
          </w:p>
          <w:p w14:paraId="760F6FDB" w14:textId="665757FA" w:rsidR="00245C64" w:rsidRDefault="00245C64" w:rsidP="00574200">
            <w:pPr>
              <w:pStyle w:val="Table-Entry"/>
              <w:spacing w:before="60"/>
              <w:rPr>
                <w:color w:val="auto"/>
              </w:rPr>
            </w:pPr>
            <w:r>
              <w:rPr>
                <w:color w:val="auto"/>
              </w:rPr>
              <w:t>C</w:t>
            </w:r>
            <w:r w:rsidR="00D50292">
              <w:rPr>
                <w:color w:val="auto"/>
              </w:rPr>
              <w:t>ontinue</w:t>
            </w:r>
            <w:r w:rsidRPr="00181AE8">
              <w:rPr>
                <w:color w:val="auto"/>
              </w:rPr>
              <w:t xml:space="preserve"> to develop Literacy and Numeracy planning, instruction and assessment models to meet the needs of</w:t>
            </w:r>
            <w:r w:rsidR="00D50292">
              <w:rPr>
                <w:color w:val="auto"/>
              </w:rPr>
              <w:t xml:space="preserve"> students within</w:t>
            </w:r>
            <w:r w:rsidRPr="00181AE8">
              <w:rPr>
                <w:color w:val="auto"/>
              </w:rPr>
              <w:t xml:space="preserve"> the new Victorian Curriculum</w:t>
            </w:r>
            <w:r w:rsidR="00212B6C">
              <w:rPr>
                <w:color w:val="auto"/>
              </w:rPr>
              <w:t>. This</w:t>
            </w:r>
            <w:r w:rsidRPr="00181AE8">
              <w:rPr>
                <w:color w:val="auto"/>
              </w:rPr>
              <w:t xml:space="preserve"> process</w:t>
            </w:r>
            <w:r w:rsidR="00212B6C">
              <w:rPr>
                <w:color w:val="auto"/>
              </w:rPr>
              <w:t xml:space="preserve"> will</w:t>
            </w:r>
            <w:r w:rsidRPr="00181AE8">
              <w:rPr>
                <w:color w:val="auto"/>
              </w:rPr>
              <w:t xml:space="preserve"> include a rigorous program of professional learning for staff.</w:t>
            </w:r>
            <w:r w:rsidR="00024F96">
              <w:rPr>
                <w:color w:val="auto"/>
              </w:rPr>
              <w:t xml:space="preserve"> </w:t>
            </w:r>
          </w:p>
          <w:p w14:paraId="49431361" w14:textId="77777777" w:rsidR="00245C64" w:rsidRPr="00181AE8" w:rsidRDefault="00245C64" w:rsidP="00574200">
            <w:pPr>
              <w:pStyle w:val="Table-Entry"/>
              <w:spacing w:before="60"/>
              <w:rPr>
                <w:color w:val="auto"/>
              </w:rPr>
            </w:pPr>
          </w:p>
          <w:p w14:paraId="5B8EA1F6" w14:textId="77777777" w:rsidR="00D50292" w:rsidRDefault="00D50292" w:rsidP="00574200">
            <w:pPr>
              <w:spacing w:before="60"/>
              <w:rPr>
                <w:rFonts w:ascii="Arial" w:hAnsi="Arial" w:cs="Arial"/>
                <w:sz w:val="18"/>
                <w:szCs w:val="18"/>
              </w:rPr>
            </w:pPr>
            <w:r>
              <w:rPr>
                <w:rFonts w:ascii="Arial" w:hAnsi="Arial" w:cs="Arial"/>
                <w:sz w:val="18"/>
                <w:szCs w:val="18"/>
              </w:rPr>
              <w:t xml:space="preserve">Staff </w:t>
            </w:r>
            <w:r w:rsidRPr="00181AE8">
              <w:rPr>
                <w:rFonts w:ascii="Arial" w:hAnsi="Arial" w:cs="Arial"/>
                <w:sz w:val="18"/>
                <w:szCs w:val="18"/>
              </w:rPr>
              <w:t>P</w:t>
            </w:r>
            <w:r>
              <w:rPr>
                <w:rFonts w:ascii="Arial" w:hAnsi="Arial" w:cs="Arial"/>
                <w:sz w:val="18"/>
                <w:szCs w:val="18"/>
              </w:rPr>
              <w:t xml:space="preserve">rofessional </w:t>
            </w:r>
            <w:r w:rsidRPr="00181AE8">
              <w:rPr>
                <w:rFonts w:ascii="Arial" w:hAnsi="Arial" w:cs="Arial"/>
                <w:sz w:val="18"/>
                <w:szCs w:val="18"/>
              </w:rPr>
              <w:t>L</w:t>
            </w:r>
            <w:r>
              <w:rPr>
                <w:rFonts w:ascii="Arial" w:hAnsi="Arial" w:cs="Arial"/>
                <w:sz w:val="18"/>
                <w:szCs w:val="18"/>
              </w:rPr>
              <w:t xml:space="preserve">earning </w:t>
            </w:r>
            <w:r w:rsidRPr="00181AE8">
              <w:rPr>
                <w:rFonts w:ascii="Arial" w:hAnsi="Arial" w:cs="Arial"/>
                <w:sz w:val="18"/>
                <w:szCs w:val="18"/>
              </w:rPr>
              <w:t>C</w:t>
            </w:r>
            <w:r>
              <w:rPr>
                <w:rFonts w:ascii="Arial" w:hAnsi="Arial" w:cs="Arial"/>
                <w:sz w:val="18"/>
                <w:szCs w:val="18"/>
              </w:rPr>
              <w:t>ommunities</w:t>
            </w:r>
            <w:r w:rsidR="00245C64" w:rsidRPr="00181AE8">
              <w:rPr>
                <w:rFonts w:ascii="Arial" w:hAnsi="Arial" w:cs="Arial"/>
                <w:sz w:val="18"/>
                <w:szCs w:val="18"/>
              </w:rPr>
              <w:t xml:space="preserve"> </w:t>
            </w:r>
            <w:r>
              <w:rPr>
                <w:rFonts w:ascii="Arial" w:hAnsi="Arial" w:cs="Arial"/>
                <w:sz w:val="18"/>
                <w:szCs w:val="18"/>
              </w:rPr>
              <w:t xml:space="preserve">(PLCs) </w:t>
            </w:r>
            <w:r w:rsidR="00245C64">
              <w:rPr>
                <w:rFonts w:ascii="Arial" w:hAnsi="Arial" w:cs="Arial"/>
                <w:sz w:val="18"/>
                <w:szCs w:val="18"/>
              </w:rPr>
              <w:t>will</w:t>
            </w:r>
            <w:r w:rsidR="00245C64" w:rsidRPr="00181AE8">
              <w:rPr>
                <w:rFonts w:ascii="Arial" w:hAnsi="Arial" w:cs="Arial"/>
                <w:sz w:val="18"/>
                <w:szCs w:val="18"/>
              </w:rPr>
              <w:t xml:space="preserve"> respond to the Annual Implementation Plan and develop curriculum documentation.</w:t>
            </w:r>
            <w:r w:rsidR="00245C64">
              <w:rPr>
                <w:rFonts w:ascii="Arial" w:hAnsi="Arial" w:cs="Arial"/>
                <w:sz w:val="18"/>
                <w:szCs w:val="18"/>
              </w:rPr>
              <w:t xml:space="preserve"> </w:t>
            </w:r>
          </w:p>
          <w:p w14:paraId="2CDF9EA6" w14:textId="77777777" w:rsidR="00D50292" w:rsidRDefault="00D50292" w:rsidP="00574200">
            <w:pPr>
              <w:spacing w:before="60"/>
              <w:rPr>
                <w:rFonts w:ascii="Arial" w:hAnsi="Arial" w:cs="Arial"/>
                <w:sz w:val="18"/>
                <w:szCs w:val="18"/>
              </w:rPr>
            </w:pPr>
          </w:p>
          <w:p w14:paraId="2D4B3C97" w14:textId="4742B59D" w:rsidR="00245C64" w:rsidRDefault="00245C64" w:rsidP="00574200">
            <w:pPr>
              <w:spacing w:before="60"/>
              <w:rPr>
                <w:rFonts w:ascii="Arial" w:hAnsi="Arial" w:cs="Arial"/>
                <w:sz w:val="18"/>
                <w:szCs w:val="18"/>
              </w:rPr>
            </w:pPr>
            <w:r>
              <w:rPr>
                <w:rFonts w:ascii="Arial" w:hAnsi="Arial" w:cs="Arial"/>
                <w:sz w:val="18"/>
                <w:szCs w:val="18"/>
              </w:rPr>
              <w:t>T</w:t>
            </w:r>
            <w:r w:rsidRPr="00181AE8">
              <w:rPr>
                <w:rFonts w:ascii="Arial" w:hAnsi="Arial" w:cs="Arial"/>
                <w:sz w:val="18"/>
                <w:szCs w:val="18"/>
              </w:rPr>
              <w:t xml:space="preserve">he school </w:t>
            </w:r>
            <w:r>
              <w:rPr>
                <w:rFonts w:ascii="Arial" w:hAnsi="Arial" w:cs="Arial"/>
                <w:sz w:val="18"/>
                <w:szCs w:val="18"/>
              </w:rPr>
              <w:t xml:space="preserve">will </w:t>
            </w:r>
            <w:r w:rsidRPr="00181AE8">
              <w:rPr>
                <w:rFonts w:ascii="Arial" w:hAnsi="Arial" w:cs="Arial"/>
                <w:sz w:val="18"/>
                <w:szCs w:val="18"/>
              </w:rPr>
              <w:t>introduce ‘collaborative planning teams’ consisting of teachers working as a team</w:t>
            </w:r>
            <w:r w:rsidR="00D50292">
              <w:rPr>
                <w:rFonts w:ascii="Arial" w:hAnsi="Arial" w:cs="Arial"/>
                <w:sz w:val="18"/>
                <w:szCs w:val="18"/>
              </w:rPr>
              <w:t xml:space="preserve"> within grade levels</w:t>
            </w:r>
            <w:r>
              <w:rPr>
                <w:rFonts w:ascii="Arial" w:hAnsi="Arial" w:cs="Arial"/>
                <w:sz w:val="18"/>
                <w:szCs w:val="18"/>
              </w:rPr>
              <w:t xml:space="preserve">. </w:t>
            </w:r>
          </w:p>
          <w:p w14:paraId="3A604A37" w14:textId="77777777" w:rsidR="00245C64" w:rsidRPr="00181AE8" w:rsidRDefault="00245C64" w:rsidP="00574200">
            <w:pPr>
              <w:spacing w:before="60"/>
              <w:rPr>
                <w:rFonts w:ascii="Arial" w:hAnsi="Arial" w:cs="Arial"/>
                <w:sz w:val="18"/>
                <w:szCs w:val="18"/>
              </w:rPr>
            </w:pPr>
          </w:p>
          <w:p w14:paraId="1B0C0643" w14:textId="77777777" w:rsidR="00245C64" w:rsidRDefault="00245C64" w:rsidP="00574200">
            <w:pPr>
              <w:spacing w:before="60"/>
              <w:rPr>
                <w:rFonts w:ascii="Arial" w:hAnsi="Arial" w:cs="Arial"/>
                <w:sz w:val="18"/>
                <w:szCs w:val="18"/>
              </w:rPr>
            </w:pPr>
            <w:r>
              <w:rPr>
                <w:rFonts w:ascii="Arial" w:hAnsi="Arial" w:cs="Arial"/>
                <w:sz w:val="18"/>
                <w:szCs w:val="18"/>
              </w:rPr>
              <w:t>T</w:t>
            </w:r>
            <w:r w:rsidRPr="00181AE8">
              <w:rPr>
                <w:rFonts w:ascii="Arial" w:hAnsi="Arial" w:cs="Arial"/>
                <w:sz w:val="18"/>
                <w:szCs w:val="18"/>
              </w:rPr>
              <w:t xml:space="preserve">he school </w:t>
            </w:r>
            <w:r>
              <w:rPr>
                <w:rFonts w:ascii="Arial" w:hAnsi="Arial" w:cs="Arial"/>
                <w:sz w:val="18"/>
                <w:szCs w:val="18"/>
              </w:rPr>
              <w:t xml:space="preserve">will </w:t>
            </w:r>
            <w:r w:rsidRPr="00181AE8">
              <w:rPr>
                <w:rFonts w:ascii="Arial" w:hAnsi="Arial" w:cs="Arial"/>
                <w:sz w:val="18"/>
                <w:szCs w:val="18"/>
              </w:rPr>
              <w:t>assign clear leadership and team responsibilities, and set clear protocols around expectations, agenda, reporting and accountability.</w:t>
            </w:r>
          </w:p>
          <w:p w14:paraId="3758E97E" w14:textId="77777777" w:rsidR="00245C64" w:rsidRPr="00181AE8" w:rsidRDefault="00245C64" w:rsidP="00574200">
            <w:pPr>
              <w:spacing w:before="60"/>
              <w:rPr>
                <w:rFonts w:ascii="Arial" w:hAnsi="Arial" w:cs="Arial"/>
                <w:sz w:val="18"/>
                <w:szCs w:val="18"/>
              </w:rPr>
            </w:pPr>
          </w:p>
          <w:p w14:paraId="6902669B" w14:textId="77777777" w:rsidR="00245C64" w:rsidRPr="00181AE8" w:rsidRDefault="00245C64" w:rsidP="00574200">
            <w:pPr>
              <w:pStyle w:val="Table-Entry"/>
              <w:spacing w:before="60"/>
              <w:rPr>
                <w:color w:val="auto"/>
              </w:rPr>
            </w:pPr>
            <w:r>
              <w:rPr>
                <w:color w:val="auto"/>
              </w:rPr>
              <w:t xml:space="preserve">The </w:t>
            </w:r>
            <w:r w:rsidRPr="00181AE8">
              <w:rPr>
                <w:color w:val="auto"/>
              </w:rPr>
              <w:t xml:space="preserve">school </w:t>
            </w:r>
            <w:r>
              <w:rPr>
                <w:color w:val="auto"/>
              </w:rPr>
              <w:t xml:space="preserve">will </w:t>
            </w:r>
            <w:r w:rsidRPr="00181AE8">
              <w:rPr>
                <w:color w:val="auto"/>
              </w:rPr>
              <w:t xml:space="preserve">continue its promotion of the value of regular attendance and the cumulative impact of absenteeism on student achievement, engagement and connectedness to the broader school community. </w:t>
            </w:r>
          </w:p>
          <w:p w14:paraId="29AF379A" w14:textId="1CC5CA82" w:rsidR="00DB3EB6" w:rsidRPr="00152B71" w:rsidRDefault="00DB3EB6" w:rsidP="00574200">
            <w:pPr>
              <w:spacing w:before="60"/>
              <w:rPr>
                <w:sz w:val="18"/>
                <w:szCs w:val="18"/>
                <w:highlight w:val="yellow"/>
              </w:rPr>
            </w:pPr>
          </w:p>
          <w:p w14:paraId="749BBB7F" w14:textId="277D5904" w:rsidR="00B85BE6" w:rsidRPr="006569E2" w:rsidRDefault="00B85BE6" w:rsidP="00B85BE6">
            <w:pPr>
              <w:rPr>
                <w:sz w:val="16"/>
                <w:szCs w:val="16"/>
              </w:rPr>
            </w:pPr>
          </w:p>
        </w:tc>
      </w:tr>
      <w:tr w:rsidR="00B85BE6" w14:paraId="1C2E7DB7" w14:textId="77777777" w:rsidTr="00367C8D">
        <w:trPr>
          <w:trHeight w:val="220"/>
        </w:trPr>
        <w:tc>
          <w:tcPr>
            <w:tcW w:w="3686" w:type="dxa"/>
            <w:vMerge/>
            <w:shd w:val="clear" w:color="auto" w:fill="C2D69B" w:themeFill="accent3" w:themeFillTint="99"/>
          </w:tcPr>
          <w:p w14:paraId="2E752559" w14:textId="538CFB02" w:rsidR="00B85BE6" w:rsidRDefault="00B85BE6" w:rsidP="00B85BE6">
            <w:pPr>
              <w:rPr>
                <w:b/>
                <w:sz w:val="18"/>
                <w:szCs w:val="18"/>
              </w:rPr>
            </w:pPr>
          </w:p>
        </w:tc>
        <w:tc>
          <w:tcPr>
            <w:tcW w:w="4678" w:type="dxa"/>
            <w:vMerge/>
            <w:shd w:val="clear" w:color="auto" w:fill="C2D69B" w:themeFill="accent3" w:themeFillTint="99"/>
          </w:tcPr>
          <w:p w14:paraId="6B13C1C2" w14:textId="2D302163" w:rsidR="00B85BE6" w:rsidRDefault="00B85BE6" w:rsidP="00B85BE6">
            <w:pPr>
              <w:rPr>
                <w:b/>
                <w:sz w:val="18"/>
                <w:szCs w:val="18"/>
              </w:rPr>
            </w:pPr>
          </w:p>
        </w:tc>
        <w:tc>
          <w:tcPr>
            <w:tcW w:w="6946" w:type="dxa"/>
            <w:vMerge/>
            <w:shd w:val="clear" w:color="auto" w:fill="C2D69B" w:themeFill="accent3" w:themeFillTint="99"/>
          </w:tcPr>
          <w:p w14:paraId="14E9743B" w14:textId="3EE5F929" w:rsidR="00B85BE6" w:rsidRDefault="00B85BE6" w:rsidP="00B85BE6">
            <w:pPr>
              <w:rPr>
                <w:b/>
                <w:sz w:val="18"/>
                <w:szCs w:val="18"/>
              </w:rPr>
            </w:pPr>
          </w:p>
        </w:tc>
        <w:tc>
          <w:tcPr>
            <w:tcW w:w="7229" w:type="dxa"/>
            <w:vMerge/>
            <w:shd w:val="clear" w:color="auto" w:fill="C2D69B" w:themeFill="accent3" w:themeFillTint="99"/>
          </w:tcPr>
          <w:p w14:paraId="25AF8890" w14:textId="286DBC9C" w:rsidR="00B85BE6" w:rsidRDefault="00B85BE6" w:rsidP="00B85BE6">
            <w:pPr>
              <w:rPr>
                <w:b/>
                <w:sz w:val="18"/>
                <w:szCs w:val="18"/>
              </w:rPr>
            </w:pPr>
          </w:p>
        </w:tc>
      </w:tr>
      <w:tr w:rsidR="00B85BE6" w14:paraId="599C0C12" w14:textId="77777777" w:rsidTr="00367C8D">
        <w:trPr>
          <w:trHeight w:val="220"/>
        </w:trPr>
        <w:tc>
          <w:tcPr>
            <w:tcW w:w="3686" w:type="dxa"/>
            <w:vMerge/>
          </w:tcPr>
          <w:p w14:paraId="3E998D3A" w14:textId="77777777" w:rsidR="00B85BE6" w:rsidRDefault="00B85BE6" w:rsidP="00B85BE6">
            <w:pPr>
              <w:rPr>
                <w:sz w:val="18"/>
                <w:szCs w:val="18"/>
                <w:highlight w:val="lightGray"/>
              </w:rPr>
            </w:pPr>
          </w:p>
        </w:tc>
        <w:tc>
          <w:tcPr>
            <w:tcW w:w="4678" w:type="dxa"/>
            <w:vMerge/>
          </w:tcPr>
          <w:p w14:paraId="67415038" w14:textId="3A85C9AE" w:rsidR="00B85BE6" w:rsidRDefault="00B85BE6" w:rsidP="00B85BE6">
            <w:pPr>
              <w:rPr>
                <w:i/>
                <w:sz w:val="16"/>
                <w:szCs w:val="16"/>
              </w:rPr>
            </w:pPr>
          </w:p>
        </w:tc>
        <w:tc>
          <w:tcPr>
            <w:tcW w:w="6946" w:type="dxa"/>
            <w:vMerge/>
          </w:tcPr>
          <w:p w14:paraId="30AC8E9D" w14:textId="0A2B98E0" w:rsidR="00B85BE6" w:rsidRDefault="00B85BE6" w:rsidP="00B85BE6">
            <w:pPr>
              <w:rPr>
                <w:i/>
                <w:sz w:val="16"/>
                <w:szCs w:val="16"/>
              </w:rPr>
            </w:pPr>
          </w:p>
        </w:tc>
        <w:tc>
          <w:tcPr>
            <w:tcW w:w="7229" w:type="dxa"/>
            <w:vMerge/>
          </w:tcPr>
          <w:p w14:paraId="2221E176" w14:textId="0D0FC2B0" w:rsidR="00B85BE6" w:rsidRDefault="00B85BE6" w:rsidP="00B85BE6">
            <w:pPr>
              <w:rPr>
                <w:i/>
                <w:sz w:val="16"/>
                <w:szCs w:val="16"/>
              </w:rPr>
            </w:pPr>
          </w:p>
        </w:tc>
      </w:tr>
    </w:tbl>
    <w:p w14:paraId="5287F4E4" w14:textId="53265501" w:rsidR="00E23FC3" w:rsidRDefault="00E23FC3" w:rsidP="00E23FC3">
      <w:pPr>
        <w:tabs>
          <w:tab w:val="left" w:pos="3000"/>
        </w:tabs>
      </w:pPr>
    </w:p>
    <w:tbl>
      <w:tblPr>
        <w:tblStyle w:val="TableGrid"/>
        <w:tblW w:w="22587" w:type="dxa"/>
        <w:tblInd w:w="-743" w:type="dxa"/>
        <w:tblLook w:val="04A0" w:firstRow="1" w:lastRow="0" w:firstColumn="1" w:lastColumn="0" w:noHBand="0" w:noVBand="1"/>
      </w:tblPr>
      <w:tblGrid>
        <w:gridCol w:w="6663"/>
        <w:gridCol w:w="2694"/>
        <w:gridCol w:w="6615"/>
        <w:gridCol w:w="6615"/>
      </w:tblGrid>
      <w:tr w:rsidR="006569E2" w14:paraId="4085FA85" w14:textId="51F8299A" w:rsidTr="006569E2">
        <w:trPr>
          <w:trHeight w:val="570"/>
        </w:trPr>
        <w:tc>
          <w:tcPr>
            <w:tcW w:w="6663" w:type="dxa"/>
            <w:shd w:val="clear" w:color="auto" w:fill="C2D69B" w:themeFill="accent3" w:themeFillTint="99"/>
          </w:tcPr>
          <w:p w14:paraId="0C8743AF" w14:textId="746E84A4" w:rsidR="006569E2" w:rsidRDefault="006569E2" w:rsidP="006569E2">
            <w:pPr>
              <w:spacing w:before="120" w:after="120"/>
              <w:rPr>
                <w:b/>
                <w:sz w:val="18"/>
                <w:szCs w:val="18"/>
              </w:rPr>
            </w:pPr>
            <w:r>
              <w:rPr>
                <w:b/>
                <w:sz w:val="18"/>
                <w:szCs w:val="18"/>
              </w:rPr>
              <w:t xml:space="preserve">Four-year goals </w:t>
            </w:r>
            <w:r w:rsidR="00EB7105">
              <w:rPr>
                <w:b/>
                <w:sz w:val="18"/>
                <w:szCs w:val="18"/>
              </w:rPr>
              <w:br/>
            </w:r>
            <w:r w:rsidR="00EB7105" w:rsidRPr="00EB7105">
              <w:rPr>
                <w:b/>
                <w:sz w:val="16"/>
                <w:szCs w:val="16"/>
              </w:rPr>
              <w:t>(</w:t>
            </w:r>
            <w:r w:rsidR="007274A1" w:rsidRPr="00EB7105">
              <w:rPr>
                <w:b/>
                <w:sz w:val="16"/>
                <w:szCs w:val="16"/>
              </w:rPr>
              <w:t>for improving student achievement</w:t>
            </w:r>
            <w:r w:rsidR="00EB7105" w:rsidRPr="00EB7105">
              <w:rPr>
                <w:b/>
                <w:sz w:val="16"/>
                <w:szCs w:val="16"/>
              </w:rPr>
              <w:t>, engagement and wellbeing)</w:t>
            </w:r>
          </w:p>
        </w:tc>
        <w:tc>
          <w:tcPr>
            <w:tcW w:w="2694" w:type="dxa"/>
            <w:shd w:val="clear" w:color="auto" w:fill="C2D69B" w:themeFill="accent3" w:themeFillTint="99"/>
          </w:tcPr>
          <w:p w14:paraId="44CAAD50" w14:textId="485D5986" w:rsidR="006569E2" w:rsidRDefault="00055235" w:rsidP="00055235">
            <w:pPr>
              <w:spacing w:before="120"/>
              <w:rPr>
                <w:b/>
                <w:sz w:val="18"/>
                <w:szCs w:val="18"/>
              </w:rPr>
            </w:pPr>
            <w:r>
              <w:rPr>
                <w:b/>
                <w:sz w:val="18"/>
                <w:szCs w:val="18"/>
              </w:rPr>
              <w:t>I</w:t>
            </w:r>
            <w:r w:rsidR="006569E2">
              <w:rPr>
                <w:b/>
                <w:sz w:val="18"/>
                <w:szCs w:val="18"/>
              </w:rPr>
              <w:t xml:space="preserve">mprovement </w:t>
            </w:r>
            <w:r>
              <w:rPr>
                <w:b/>
                <w:sz w:val="18"/>
                <w:szCs w:val="18"/>
              </w:rPr>
              <w:t>P</w:t>
            </w:r>
            <w:r w:rsidR="006569E2">
              <w:rPr>
                <w:b/>
                <w:sz w:val="18"/>
                <w:szCs w:val="18"/>
              </w:rPr>
              <w:t xml:space="preserve">riorities, </w:t>
            </w:r>
            <w:r>
              <w:rPr>
                <w:b/>
                <w:sz w:val="18"/>
                <w:szCs w:val="18"/>
              </w:rPr>
              <w:t>I</w:t>
            </w:r>
            <w:r w:rsidR="006569E2">
              <w:rPr>
                <w:b/>
                <w:sz w:val="18"/>
                <w:szCs w:val="18"/>
              </w:rPr>
              <w:t xml:space="preserve">nitiatives and/or </w:t>
            </w:r>
            <w:r>
              <w:rPr>
                <w:b/>
                <w:sz w:val="18"/>
                <w:szCs w:val="18"/>
              </w:rPr>
              <w:t>D</w:t>
            </w:r>
            <w:r w:rsidR="006569E2">
              <w:rPr>
                <w:b/>
                <w:sz w:val="18"/>
                <w:szCs w:val="18"/>
              </w:rPr>
              <w:t>imensions</w:t>
            </w:r>
          </w:p>
        </w:tc>
        <w:tc>
          <w:tcPr>
            <w:tcW w:w="6615" w:type="dxa"/>
            <w:shd w:val="clear" w:color="auto" w:fill="C2D69B" w:themeFill="accent3" w:themeFillTint="99"/>
          </w:tcPr>
          <w:p w14:paraId="78D5E382" w14:textId="7805D260" w:rsidR="006569E2" w:rsidRDefault="006569E2" w:rsidP="006569E2">
            <w:pPr>
              <w:spacing w:before="120"/>
              <w:rPr>
                <w:b/>
                <w:sz w:val="18"/>
                <w:szCs w:val="18"/>
              </w:rPr>
            </w:pPr>
            <w:r w:rsidRPr="00CC615B">
              <w:rPr>
                <w:b/>
                <w:sz w:val="18"/>
                <w:szCs w:val="18"/>
              </w:rPr>
              <w:t>Key improvement strategies</w:t>
            </w:r>
            <w:r>
              <w:rPr>
                <w:b/>
                <w:sz w:val="18"/>
                <w:szCs w:val="18"/>
              </w:rPr>
              <w:t xml:space="preserve"> </w:t>
            </w:r>
          </w:p>
        </w:tc>
        <w:tc>
          <w:tcPr>
            <w:tcW w:w="6615" w:type="dxa"/>
            <w:shd w:val="clear" w:color="auto" w:fill="C2D69B" w:themeFill="accent3" w:themeFillTint="99"/>
          </w:tcPr>
          <w:p w14:paraId="3860DDA6" w14:textId="08FA8C78" w:rsidR="00EB7105" w:rsidRPr="00CC615B" w:rsidRDefault="006569E2" w:rsidP="006569E2">
            <w:pPr>
              <w:spacing w:before="120"/>
              <w:rPr>
                <w:b/>
                <w:sz w:val="18"/>
                <w:szCs w:val="18"/>
              </w:rPr>
            </w:pPr>
            <w:r>
              <w:rPr>
                <w:b/>
                <w:sz w:val="18"/>
                <w:szCs w:val="18"/>
              </w:rPr>
              <w:t xml:space="preserve">Targets </w:t>
            </w:r>
            <w:r w:rsidR="00EB7105">
              <w:rPr>
                <w:b/>
                <w:sz w:val="18"/>
                <w:szCs w:val="18"/>
              </w:rPr>
              <w:br/>
            </w:r>
            <w:r w:rsidR="00EB7105" w:rsidRPr="00EB7105">
              <w:rPr>
                <w:b/>
                <w:sz w:val="16"/>
                <w:szCs w:val="16"/>
              </w:rPr>
              <w:t>(for improving student achievement, engagement and wellbeing)</w:t>
            </w:r>
          </w:p>
        </w:tc>
      </w:tr>
      <w:tr w:rsidR="006569E2" w14:paraId="572CE555" w14:textId="772407F0" w:rsidTr="00184C33">
        <w:trPr>
          <w:trHeight w:val="720"/>
        </w:trPr>
        <w:tc>
          <w:tcPr>
            <w:tcW w:w="6663" w:type="dxa"/>
            <w:shd w:val="clear" w:color="auto" w:fill="F2F2F2" w:themeFill="background1" w:themeFillShade="F2"/>
          </w:tcPr>
          <w:p w14:paraId="12609A40" w14:textId="77777777" w:rsidR="002D1E23" w:rsidRPr="00EF2E59" w:rsidRDefault="002D1E23" w:rsidP="00C116F6">
            <w:pPr>
              <w:rPr>
                <w:rFonts w:ascii="Arial" w:hAnsi="Arial" w:cs="Arial"/>
                <w:sz w:val="18"/>
                <w:szCs w:val="18"/>
                <w:highlight w:val="lightGray"/>
              </w:rPr>
            </w:pPr>
          </w:p>
          <w:p w14:paraId="6767007C" w14:textId="24EC2553" w:rsidR="006569E2" w:rsidRPr="00EF2E59" w:rsidRDefault="002D1E23" w:rsidP="00A05F71">
            <w:pPr>
              <w:rPr>
                <w:rFonts w:ascii="Arial" w:hAnsi="Arial" w:cs="Arial"/>
                <w:b/>
                <w:sz w:val="18"/>
                <w:szCs w:val="18"/>
                <w:u w:val="single"/>
              </w:rPr>
            </w:pPr>
            <w:r w:rsidRPr="00EF2E59">
              <w:rPr>
                <w:rFonts w:ascii="Arial" w:hAnsi="Arial" w:cs="Arial"/>
                <w:b/>
                <w:sz w:val="18"/>
                <w:szCs w:val="18"/>
                <w:u w:val="single"/>
              </w:rPr>
              <w:t>FISO</w:t>
            </w:r>
          </w:p>
          <w:p w14:paraId="2F6D8DD4" w14:textId="4A31084A" w:rsidR="00034FBE" w:rsidRPr="00327AE1" w:rsidRDefault="002D1E23" w:rsidP="002D1E23">
            <w:pPr>
              <w:pStyle w:val="Table-Entry"/>
              <w:rPr>
                <w:i/>
                <w:color w:val="auto"/>
              </w:rPr>
            </w:pPr>
            <w:r w:rsidRPr="00EF2E59">
              <w:rPr>
                <w:color w:val="auto"/>
              </w:rPr>
              <w:t xml:space="preserve">To fully align with FISO to collectively build the capacity of the school to deliver more effective teaching, </w:t>
            </w:r>
            <w:r w:rsidR="00327AE1">
              <w:rPr>
                <w:color w:val="auto"/>
              </w:rPr>
              <w:t>improved learning and</w:t>
            </w:r>
            <w:r w:rsidRPr="00EF2E59">
              <w:rPr>
                <w:color w:val="auto"/>
              </w:rPr>
              <w:t xml:space="preserve"> schooling outcomes</w:t>
            </w:r>
            <w:r w:rsidRPr="00EF2E59">
              <w:rPr>
                <w:i/>
                <w:color w:val="auto"/>
              </w:rPr>
              <w:t>.</w:t>
            </w:r>
          </w:p>
        </w:tc>
        <w:tc>
          <w:tcPr>
            <w:tcW w:w="2694" w:type="dxa"/>
            <w:shd w:val="clear" w:color="auto" w:fill="F2F2F2" w:themeFill="background1" w:themeFillShade="F2"/>
          </w:tcPr>
          <w:p w14:paraId="5620A8A1" w14:textId="33F33FF8" w:rsidR="006569E2" w:rsidRPr="00EF2E59" w:rsidRDefault="000D6F17" w:rsidP="00A05F71">
            <w:pPr>
              <w:rPr>
                <w:rFonts w:ascii="Arial" w:hAnsi="Arial" w:cs="Arial"/>
                <w:b/>
                <w:sz w:val="18"/>
                <w:szCs w:val="18"/>
              </w:rPr>
            </w:pPr>
            <w:r>
              <w:rPr>
                <w:rFonts w:ascii="Arial" w:hAnsi="Arial" w:cs="Arial"/>
                <w:b/>
                <w:sz w:val="18"/>
                <w:szCs w:val="18"/>
              </w:rPr>
              <w:t>Framework for Improving Student Outcomes (FISO)</w:t>
            </w:r>
          </w:p>
        </w:tc>
        <w:tc>
          <w:tcPr>
            <w:tcW w:w="6615" w:type="dxa"/>
            <w:shd w:val="clear" w:color="auto" w:fill="F2F2F2" w:themeFill="background1" w:themeFillShade="F2"/>
          </w:tcPr>
          <w:p w14:paraId="510B294A" w14:textId="77777777" w:rsidR="00E916DE" w:rsidRDefault="00E916DE" w:rsidP="002D1E23">
            <w:pPr>
              <w:pStyle w:val="Table-Entry"/>
              <w:rPr>
                <w:color w:val="auto"/>
              </w:rPr>
            </w:pPr>
          </w:p>
          <w:p w14:paraId="0C0DA16C" w14:textId="7FBF352E" w:rsidR="002D1E23" w:rsidRPr="00EF2E59" w:rsidRDefault="002D1E23" w:rsidP="00E916DE">
            <w:pPr>
              <w:pStyle w:val="Table-Entry"/>
              <w:numPr>
                <w:ilvl w:val="0"/>
                <w:numId w:val="11"/>
              </w:numPr>
              <w:rPr>
                <w:color w:val="auto"/>
              </w:rPr>
            </w:pPr>
            <w:r w:rsidRPr="00EF2E59">
              <w:rPr>
                <w:color w:val="auto"/>
              </w:rPr>
              <w:t>FISO is a mandated requir</w:t>
            </w:r>
            <w:r w:rsidR="00E916DE">
              <w:rPr>
                <w:color w:val="auto"/>
              </w:rPr>
              <w:t>ement, as a</w:t>
            </w:r>
            <w:r w:rsidRPr="00EF2E59">
              <w:rPr>
                <w:color w:val="auto"/>
              </w:rPr>
              <w:t xml:space="preserve"> school </w:t>
            </w:r>
            <w:r w:rsidR="00E916DE">
              <w:rPr>
                <w:color w:val="auto"/>
              </w:rPr>
              <w:t>we will</w:t>
            </w:r>
            <w:r w:rsidRPr="00EF2E59">
              <w:rPr>
                <w:color w:val="auto"/>
              </w:rPr>
              <w:t xml:space="preserve"> consider the manner in which the framework and the </w:t>
            </w:r>
            <w:r w:rsidRPr="00EC0A26">
              <w:rPr>
                <w:color w:val="auto"/>
              </w:rPr>
              <w:t>continua</w:t>
            </w:r>
            <w:r w:rsidRPr="00EF2E59">
              <w:rPr>
                <w:color w:val="auto"/>
              </w:rPr>
              <w:t xml:space="preserve"> for school improvement can be incorporated into the Key Improvement Strategies and Targets</w:t>
            </w:r>
            <w:r w:rsidR="00034FBE">
              <w:rPr>
                <w:color w:val="auto"/>
              </w:rPr>
              <w:t>,</w:t>
            </w:r>
            <w:r w:rsidRPr="00EF2E59">
              <w:rPr>
                <w:color w:val="auto"/>
              </w:rPr>
              <w:t xml:space="preserve"> in all of its student outcome areas</w:t>
            </w:r>
            <w:r w:rsidR="00034FBE">
              <w:rPr>
                <w:color w:val="auto"/>
              </w:rPr>
              <w:t>,</w:t>
            </w:r>
            <w:r w:rsidRPr="00EF2E59">
              <w:rPr>
                <w:color w:val="auto"/>
              </w:rPr>
              <w:t xml:space="preserve"> in its next strategic plan.</w:t>
            </w:r>
          </w:p>
          <w:p w14:paraId="349F1D1E" w14:textId="77777777" w:rsidR="006569E2" w:rsidRPr="00EF2E59" w:rsidRDefault="006569E2" w:rsidP="00A05F71">
            <w:pPr>
              <w:rPr>
                <w:rFonts w:ascii="Arial" w:hAnsi="Arial" w:cs="Arial"/>
                <w:sz w:val="18"/>
                <w:szCs w:val="18"/>
                <w:highlight w:val="lightGray"/>
              </w:rPr>
            </w:pPr>
          </w:p>
        </w:tc>
        <w:tc>
          <w:tcPr>
            <w:tcW w:w="6615" w:type="dxa"/>
            <w:shd w:val="clear" w:color="auto" w:fill="F2F2F2" w:themeFill="background1" w:themeFillShade="F2"/>
          </w:tcPr>
          <w:p w14:paraId="3C516BD6" w14:textId="77777777" w:rsidR="006569E2" w:rsidRPr="00EF2E59" w:rsidRDefault="006569E2" w:rsidP="000D6F17">
            <w:pPr>
              <w:rPr>
                <w:rFonts w:ascii="Arial" w:hAnsi="Arial" w:cs="Arial"/>
                <w:sz w:val="18"/>
                <w:szCs w:val="18"/>
                <w:highlight w:val="lightGray"/>
              </w:rPr>
            </w:pPr>
          </w:p>
        </w:tc>
      </w:tr>
      <w:tr w:rsidR="00A9459E" w14:paraId="55335813" w14:textId="61E43A44" w:rsidTr="00226795">
        <w:trPr>
          <w:trHeight w:val="1785"/>
        </w:trPr>
        <w:tc>
          <w:tcPr>
            <w:tcW w:w="6663" w:type="dxa"/>
            <w:tcBorders>
              <w:bottom w:val="single" w:sz="4" w:space="0" w:color="auto"/>
            </w:tcBorders>
            <w:shd w:val="clear" w:color="auto" w:fill="DAEEF3" w:themeFill="accent5" w:themeFillTint="33"/>
          </w:tcPr>
          <w:p w14:paraId="6A4F6409" w14:textId="77777777" w:rsidR="00A9459E" w:rsidRPr="00EF2E59" w:rsidRDefault="00A9459E" w:rsidP="00274510">
            <w:pPr>
              <w:rPr>
                <w:rFonts w:ascii="Arial" w:hAnsi="Arial" w:cs="Arial"/>
                <w:i/>
                <w:sz w:val="18"/>
                <w:szCs w:val="18"/>
                <w:highlight w:val="lightGray"/>
              </w:rPr>
            </w:pPr>
          </w:p>
          <w:p w14:paraId="48606884" w14:textId="35967DF3" w:rsidR="00A9459E" w:rsidRPr="00EF2E59" w:rsidRDefault="00A9459E" w:rsidP="00274510">
            <w:pPr>
              <w:rPr>
                <w:rFonts w:ascii="Arial" w:hAnsi="Arial" w:cs="Arial"/>
                <w:b/>
                <w:sz w:val="18"/>
                <w:szCs w:val="18"/>
                <w:u w:val="single"/>
              </w:rPr>
            </w:pPr>
            <w:r w:rsidRPr="00EF2E59">
              <w:rPr>
                <w:rFonts w:ascii="Arial" w:hAnsi="Arial" w:cs="Arial"/>
                <w:b/>
                <w:sz w:val="18"/>
                <w:szCs w:val="18"/>
                <w:u w:val="single"/>
              </w:rPr>
              <w:t>Teaching and Learning</w:t>
            </w:r>
          </w:p>
          <w:p w14:paraId="40D1B6D9" w14:textId="7F43CD56" w:rsidR="00A9459E" w:rsidRPr="00EF2E59" w:rsidRDefault="00A9459E" w:rsidP="002D1E23">
            <w:pPr>
              <w:pStyle w:val="Table-Entry"/>
              <w:rPr>
                <w:color w:val="auto"/>
              </w:rPr>
            </w:pPr>
            <w:r w:rsidRPr="00EF2E59">
              <w:rPr>
                <w:color w:val="auto"/>
              </w:rPr>
              <w:t xml:space="preserve">To develop a culture of highly effective teaching and learning so all students demonstrate growth of at least one year in all 12 month periods of the Strategic Plan. </w:t>
            </w:r>
          </w:p>
          <w:p w14:paraId="32FE5185" w14:textId="2CAB5216" w:rsidR="00A9459E" w:rsidRPr="00EF2E59" w:rsidRDefault="00A9459E" w:rsidP="00353CA5">
            <w:pPr>
              <w:rPr>
                <w:rFonts w:ascii="Arial" w:hAnsi="Arial" w:cs="Arial"/>
                <w:sz w:val="18"/>
                <w:szCs w:val="18"/>
                <w:highlight w:val="lightGray"/>
              </w:rPr>
            </w:pPr>
          </w:p>
        </w:tc>
        <w:tc>
          <w:tcPr>
            <w:tcW w:w="2694" w:type="dxa"/>
            <w:tcBorders>
              <w:bottom w:val="single" w:sz="4" w:space="0" w:color="auto"/>
            </w:tcBorders>
            <w:shd w:val="clear" w:color="auto" w:fill="DAEEF3" w:themeFill="accent5" w:themeFillTint="33"/>
          </w:tcPr>
          <w:p w14:paraId="73A23D41" w14:textId="46BDA474" w:rsidR="00A9459E" w:rsidRDefault="00A9459E" w:rsidP="00163A2D">
            <w:pPr>
              <w:rPr>
                <w:rFonts w:ascii="Arial" w:hAnsi="Arial" w:cs="Arial"/>
                <w:b/>
                <w:i/>
                <w:sz w:val="18"/>
                <w:szCs w:val="18"/>
              </w:rPr>
            </w:pPr>
          </w:p>
          <w:p w14:paraId="3214EEE9" w14:textId="77777777" w:rsidR="00A9459E" w:rsidRDefault="00A9459E" w:rsidP="00A05F71">
            <w:pPr>
              <w:rPr>
                <w:rFonts w:ascii="Arial" w:hAnsi="Arial" w:cs="Arial"/>
                <w:b/>
                <w:i/>
                <w:sz w:val="18"/>
                <w:szCs w:val="18"/>
              </w:rPr>
            </w:pPr>
          </w:p>
          <w:p w14:paraId="1668E5F3" w14:textId="4F126335" w:rsidR="00A9459E" w:rsidRPr="00EF2E59" w:rsidRDefault="00A9459E" w:rsidP="000C1E63">
            <w:pPr>
              <w:rPr>
                <w:rFonts w:ascii="Arial" w:hAnsi="Arial" w:cs="Arial"/>
                <w:b/>
                <w:sz w:val="18"/>
                <w:szCs w:val="18"/>
              </w:rPr>
            </w:pPr>
            <w:r w:rsidRPr="000C1E63">
              <w:rPr>
                <w:rFonts w:ascii="Arial" w:hAnsi="Arial" w:cs="Arial"/>
                <w:b/>
                <w:sz w:val="18"/>
                <w:szCs w:val="18"/>
              </w:rPr>
              <w:t>Excellence in teaching and learning –</w:t>
            </w:r>
            <w:r>
              <w:rPr>
                <w:rFonts w:ascii="Arial" w:hAnsi="Arial" w:cs="Arial"/>
                <w:b/>
                <w:i/>
                <w:sz w:val="18"/>
                <w:szCs w:val="18"/>
              </w:rPr>
              <w:t xml:space="preserve"> Curriculum planning and assessment</w:t>
            </w:r>
          </w:p>
        </w:tc>
        <w:tc>
          <w:tcPr>
            <w:tcW w:w="6615" w:type="dxa"/>
            <w:vMerge w:val="restart"/>
            <w:tcBorders>
              <w:bottom w:val="single" w:sz="4" w:space="0" w:color="auto"/>
            </w:tcBorders>
            <w:shd w:val="clear" w:color="auto" w:fill="DAEEF3" w:themeFill="accent5" w:themeFillTint="33"/>
          </w:tcPr>
          <w:p w14:paraId="162647EB" w14:textId="53AB1057" w:rsidR="00A9459E" w:rsidRDefault="00A9459E" w:rsidP="00175AFF">
            <w:pPr>
              <w:pStyle w:val="Table-Entry"/>
              <w:numPr>
                <w:ilvl w:val="0"/>
                <w:numId w:val="9"/>
              </w:numPr>
              <w:spacing w:before="120"/>
              <w:ind w:left="714" w:hanging="357"/>
              <w:rPr>
                <w:color w:val="auto"/>
              </w:rPr>
            </w:pPr>
            <w:r w:rsidRPr="00EF2E59">
              <w:rPr>
                <w:color w:val="auto"/>
              </w:rPr>
              <w:t>estab</w:t>
            </w:r>
            <w:r w:rsidR="00034FBE">
              <w:rPr>
                <w:color w:val="auto"/>
              </w:rPr>
              <w:t>lish a dedicated hour in school-</w:t>
            </w:r>
            <w:r w:rsidRPr="00EF2E59">
              <w:rPr>
                <w:color w:val="auto"/>
              </w:rPr>
              <w:t>time for collaborative planning teams to meet, with time increasing to two hours from 2018 onwards</w:t>
            </w:r>
          </w:p>
          <w:p w14:paraId="2C0B4BDD" w14:textId="77777777" w:rsidR="00A9459E" w:rsidRPr="00EF2E59" w:rsidRDefault="00A9459E" w:rsidP="00E916DE">
            <w:pPr>
              <w:pStyle w:val="Table-Entry"/>
              <w:ind w:left="720"/>
              <w:rPr>
                <w:color w:val="auto"/>
              </w:rPr>
            </w:pPr>
          </w:p>
          <w:p w14:paraId="55A1CDD3" w14:textId="77777777" w:rsidR="00A9459E" w:rsidRDefault="00A9459E" w:rsidP="00A05F71">
            <w:pPr>
              <w:pStyle w:val="Table-Entry"/>
              <w:numPr>
                <w:ilvl w:val="0"/>
                <w:numId w:val="6"/>
              </w:numPr>
              <w:rPr>
                <w:color w:val="auto"/>
              </w:rPr>
            </w:pPr>
            <w:r w:rsidRPr="00EF2E59">
              <w:rPr>
                <w:color w:val="auto"/>
              </w:rPr>
              <w:t xml:space="preserve">enhance the role and rigor within PLCs to operate in direct response to the Annual Implementation Plan (AIP) </w:t>
            </w:r>
          </w:p>
          <w:p w14:paraId="486A3699" w14:textId="77777777" w:rsidR="00A9459E" w:rsidRPr="00EF2E59" w:rsidRDefault="00A9459E" w:rsidP="00E916DE">
            <w:pPr>
              <w:pStyle w:val="Table-Entry"/>
              <w:ind w:left="720"/>
              <w:rPr>
                <w:color w:val="auto"/>
              </w:rPr>
            </w:pPr>
          </w:p>
          <w:p w14:paraId="3B61EE1F" w14:textId="77777777" w:rsidR="00A9459E" w:rsidRDefault="00A9459E" w:rsidP="00A05F71">
            <w:pPr>
              <w:pStyle w:val="Table-Entry"/>
              <w:numPr>
                <w:ilvl w:val="0"/>
                <w:numId w:val="4"/>
              </w:numPr>
              <w:rPr>
                <w:color w:val="auto"/>
              </w:rPr>
            </w:pPr>
            <w:r w:rsidRPr="00EF2E59">
              <w:rPr>
                <w:color w:val="auto"/>
              </w:rPr>
              <w:t>continue the culture change where staff continue to develop a shared, consistent and committed focus</w:t>
            </w:r>
          </w:p>
          <w:p w14:paraId="2DBD7934" w14:textId="77777777" w:rsidR="00A9459E" w:rsidRPr="00EF2E59" w:rsidRDefault="00A9459E" w:rsidP="00E916DE">
            <w:pPr>
              <w:pStyle w:val="Table-Entry"/>
              <w:ind w:left="720"/>
              <w:rPr>
                <w:color w:val="auto"/>
              </w:rPr>
            </w:pPr>
          </w:p>
          <w:p w14:paraId="36F8E644" w14:textId="77777777" w:rsidR="00A9459E" w:rsidRDefault="00A9459E" w:rsidP="00A05F71">
            <w:pPr>
              <w:pStyle w:val="Table-Entry"/>
              <w:numPr>
                <w:ilvl w:val="0"/>
                <w:numId w:val="4"/>
              </w:numPr>
              <w:rPr>
                <w:color w:val="auto"/>
              </w:rPr>
            </w:pPr>
            <w:r w:rsidRPr="00EF2E59">
              <w:rPr>
                <w:color w:val="auto"/>
              </w:rPr>
              <w:t>ensure all teachers are accountable and consistent in completing assessment and reporting requirements as outlined in the School Assessment Schedule</w:t>
            </w:r>
          </w:p>
          <w:p w14:paraId="58DF8FC3" w14:textId="77777777" w:rsidR="00A9459E" w:rsidRPr="00EF2E59" w:rsidRDefault="00A9459E" w:rsidP="00E916DE">
            <w:pPr>
              <w:pStyle w:val="Table-Entry"/>
              <w:rPr>
                <w:color w:val="auto"/>
              </w:rPr>
            </w:pPr>
          </w:p>
          <w:p w14:paraId="05A691BA" w14:textId="77777777" w:rsidR="00A9459E" w:rsidRDefault="00A9459E" w:rsidP="00353CA5">
            <w:pPr>
              <w:pStyle w:val="Table-Entry"/>
              <w:numPr>
                <w:ilvl w:val="0"/>
                <w:numId w:val="8"/>
              </w:numPr>
              <w:rPr>
                <w:color w:val="auto"/>
              </w:rPr>
            </w:pPr>
            <w:r w:rsidRPr="00EF2E59">
              <w:rPr>
                <w:color w:val="auto"/>
              </w:rPr>
              <w:t>develop a whole-school curriculum document and approach to teaching and learning for a sequential and logical implementation of the Victorian Curriculum Foundation – 10 which would include the review and refinement of the school’s Scope and Sequence documents, and a rigorous program of professional learning for staff</w:t>
            </w:r>
          </w:p>
          <w:p w14:paraId="6B24D695" w14:textId="77777777" w:rsidR="00175AFF" w:rsidRDefault="00175AFF" w:rsidP="00175AFF">
            <w:pPr>
              <w:pStyle w:val="Table-Entry"/>
              <w:ind w:left="720"/>
              <w:rPr>
                <w:color w:val="auto"/>
              </w:rPr>
            </w:pPr>
          </w:p>
          <w:p w14:paraId="7F49001F" w14:textId="77777777" w:rsidR="00175AFF" w:rsidRDefault="00175AFF" w:rsidP="00175AFF">
            <w:pPr>
              <w:pStyle w:val="Table-Entry"/>
              <w:ind w:left="720"/>
              <w:rPr>
                <w:color w:val="auto"/>
              </w:rPr>
            </w:pPr>
          </w:p>
          <w:p w14:paraId="40D34C3D" w14:textId="77777777" w:rsidR="00A9459E" w:rsidRPr="00EF2E59" w:rsidRDefault="00A9459E" w:rsidP="00E916DE">
            <w:pPr>
              <w:pStyle w:val="Table-Entry"/>
              <w:ind w:left="720"/>
              <w:rPr>
                <w:color w:val="auto"/>
              </w:rPr>
            </w:pPr>
          </w:p>
          <w:p w14:paraId="27E9F39B" w14:textId="623149EF" w:rsidR="00A9459E" w:rsidRPr="00EF2E59" w:rsidRDefault="00A9459E" w:rsidP="00A05F71">
            <w:pPr>
              <w:pStyle w:val="Table-Entry"/>
              <w:numPr>
                <w:ilvl w:val="0"/>
                <w:numId w:val="4"/>
              </w:numPr>
              <w:rPr>
                <w:color w:val="auto"/>
              </w:rPr>
            </w:pPr>
            <w:r w:rsidRPr="00EF2E59">
              <w:rPr>
                <w:color w:val="auto"/>
              </w:rPr>
              <w:t xml:space="preserve">continue to investigate processes that best cater for students who are not achieving to expected levels, or those achieving well above expected levels. </w:t>
            </w:r>
          </w:p>
        </w:tc>
        <w:tc>
          <w:tcPr>
            <w:tcW w:w="6615" w:type="dxa"/>
            <w:vMerge w:val="restart"/>
            <w:tcBorders>
              <w:bottom w:val="single" w:sz="4" w:space="0" w:color="auto"/>
            </w:tcBorders>
            <w:shd w:val="clear" w:color="auto" w:fill="DAEEF3" w:themeFill="accent5" w:themeFillTint="33"/>
          </w:tcPr>
          <w:p w14:paraId="4EEB2D81" w14:textId="77777777" w:rsidR="00A9459E" w:rsidRPr="000A34F2" w:rsidRDefault="00A9459E" w:rsidP="00175AFF">
            <w:pPr>
              <w:pStyle w:val="Table-Entry"/>
              <w:numPr>
                <w:ilvl w:val="0"/>
                <w:numId w:val="13"/>
              </w:numPr>
              <w:spacing w:before="120"/>
              <w:ind w:left="714" w:hanging="357"/>
              <w:rPr>
                <w:rFonts w:ascii="Verdana" w:hAnsi="Verdana"/>
                <w:color w:val="auto"/>
              </w:rPr>
            </w:pPr>
            <w:r w:rsidRPr="000A34F2">
              <w:rPr>
                <w:rFonts w:ascii="Verdana" w:hAnsi="Verdana"/>
                <w:color w:val="auto"/>
              </w:rPr>
              <w:t>enable all students to demonstrate at least one year’s growth for one year of instruction across all learning domains</w:t>
            </w:r>
          </w:p>
          <w:p w14:paraId="2F3D8A54" w14:textId="77777777" w:rsidR="00A9459E" w:rsidRDefault="00A9459E" w:rsidP="00034C5E">
            <w:pPr>
              <w:pStyle w:val="Table-Entry"/>
              <w:ind w:left="720"/>
              <w:rPr>
                <w:rFonts w:ascii="Verdana" w:hAnsi="Verdana"/>
                <w:color w:val="auto"/>
              </w:rPr>
            </w:pPr>
          </w:p>
          <w:p w14:paraId="66F07F65" w14:textId="77777777" w:rsidR="00A9459E" w:rsidRDefault="00A9459E" w:rsidP="00034C5E">
            <w:pPr>
              <w:pStyle w:val="Table-Entry"/>
              <w:numPr>
                <w:ilvl w:val="0"/>
                <w:numId w:val="12"/>
              </w:numPr>
              <w:rPr>
                <w:rFonts w:ascii="Verdana" w:hAnsi="Verdana"/>
                <w:color w:val="auto"/>
              </w:rPr>
            </w:pPr>
            <w:r>
              <w:rPr>
                <w:rFonts w:ascii="Verdana" w:hAnsi="Verdana"/>
                <w:color w:val="auto"/>
              </w:rPr>
              <w:t>increase the percentage of Year 3 students achieving Bands 5 and 6 NAPLAN over the next four years as follows:</w:t>
            </w:r>
          </w:p>
          <w:p w14:paraId="33543F73" w14:textId="77777777" w:rsidR="00A9459E" w:rsidRDefault="00A9459E" w:rsidP="00034C5E">
            <w:pPr>
              <w:pStyle w:val="Table-Entry"/>
              <w:ind w:left="720"/>
              <w:rPr>
                <w:rFonts w:ascii="Verdana" w:hAnsi="Verdana"/>
                <w:color w:val="auto"/>
              </w:rPr>
            </w:pPr>
            <w:r>
              <w:rPr>
                <w:rFonts w:ascii="Verdana" w:hAnsi="Verdana"/>
                <w:color w:val="auto"/>
              </w:rPr>
              <w:t xml:space="preserve"> </w:t>
            </w:r>
          </w:p>
          <w:p w14:paraId="4212FEFC" w14:textId="77777777" w:rsidR="00A9459E" w:rsidRDefault="00A9459E" w:rsidP="00034C5E">
            <w:pPr>
              <w:pStyle w:val="Table-Entry"/>
              <w:rPr>
                <w:rFonts w:ascii="Verdana" w:hAnsi="Verdana"/>
                <w:color w:val="auto"/>
              </w:rPr>
            </w:pPr>
          </w:p>
          <w:tbl>
            <w:tblPr>
              <w:tblStyle w:val="TableGrid"/>
              <w:tblW w:w="0" w:type="auto"/>
              <w:tblLook w:val="04A0" w:firstRow="1" w:lastRow="0" w:firstColumn="1" w:lastColumn="0" w:noHBand="0" w:noVBand="1"/>
            </w:tblPr>
            <w:tblGrid>
              <w:gridCol w:w="1076"/>
              <w:gridCol w:w="1076"/>
              <w:gridCol w:w="1076"/>
              <w:gridCol w:w="1077"/>
            </w:tblGrid>
            <w:tr w:rsidR="00A9459E" w14:paraId="666DFCED" w14:textId="77777777" w:rsidTr="00B54E24">
              <w:tc>
                <w:tcPr>
                  <w:tcW w:w="1076" w:type="dxa"/>
                </w:tcPr>
                <w:p w14:paraId="6DCCEC13" w14:textId="77777777" w:rsidR="00A9459E" w:rsidRDefault="00A9459E" w:rsidP="00034C5E">
                  <w:pPr>
                    <w:pStyle w:val="Table-Entry"/>
                    <w:jc w:val="center"/>
                    <w:rPr>
                      <w:rFonts w:ascii="Verdana" w:hAnsi="Verdana"/>
                      <w:color w:val="auto"/>
                    </w:rPr>
                  </w:pPr>
                </w:p>
                <w:p w14:paraId="69898FA2" w14:textId="77777777" w:rsidR="00A9459E" w:rsidRDefault="00A9459E" w:rsidP="00034C5E">
                  <w:pPr>
                    <w:pStyle w:val="Table-Entry"/>
                    <w:jc w:val="center"/>
                    <w:rPr>
                      <w:rFonts w:ascii="Verdana" w:hAnsi="Verdana"/>
                      <w:color w:val="auto"/>
                    </w:rPr>
                  </w:pPr>
                  <w:r>
                    <w:rPr>
                      <w:rFonts w:ascii="Verdana" w:hAnsi="Verdana"/>
                      <w:color w:val="auto"/>
                    </w:rPr>
                    <w:t>YEAR 3</w:t>
                  </w:r>
                </w:p>
              </w:tc>
              <w:tc>
                <w:tcPr>
                  <w:tcW w:w="1076" w:type="dxa"/>
                </w:tcPr>
                <w:p w14:paraId="5D582812" w14:textId="77777777" w:rsidR="00A9459E" w:rsidRDefault="00A9459E" w:rsidP="00034C5E">
                  <w:pPr>
                    <w:pStyle w:val="Table-Entry"/>
                    <w:jc w:val="center"/>
                    <w:rPr>
                      <w:rFonts w:ascii="Verdana" w:hAnsi="Verdana"/>
                      <w:color w:val="auto"/>
                    </w:rPr>
                  </w:pPr>
                </w:p>
                <w:p w14:paraId="1A061BCC" w14:textId="77777777" w:rsidR="00A9459E" w:rsidRDefault="00A9459E" w:rsidP="00034C5E">
                  <w:pPr>
                    <w:pStyle w:val="Table-Entry"/>
                    <w:jc w:val="center"/>
                    <w:rPr>
                      <w:rFonts w:ascii="Verdana" w:hAnsi="Verdana"/>
                      <w:color w:val="auto"/>
                    </w:rPr>
                  </w:pPr>
                  <w:r>
                    <w:rPr>
                      <w:rFonts w:ascii="Verdana" w:hAnsi="Verdana"/>
                      <w:color w:val="auto"/>
                    </w:rPr>
                    <w:t>Target</w:t>
                  </w:r>
                </w:p>
              </w:tc>
              <w:tc>
                <w:tcPr>
                  <w:tcW w:w="1076" w:type="dxa"/>
                </w:tcPr>
                <w:p w14:paraId="7765321B" w14:textId="77777777" w:rsidR="00A9459E" w:rsidRDefault="00A9459E" w:rsidP="00034C5E">
                  <w:pPr>
                    <w:pStyle w:val="Table-Entry"/>
                    <w:jc w:val="center"/>
                    <w:rPr>
                      <w:rFonts w:ascii="Verdana" w:hAnsi="Verdana"/>
                      <w:color w:val="auto"/>
                    </w:rPr>
                  </w:pPr>
                  <w:r>
                    <w:rPr>
                      <w:rFonts w:ascii="Verdana" w:hAnsi="Verdana"/>
                      <w:color w:val="auto"/>
                    </w:rPr>
                    <w:t>School Mean</w:t>
                  </w:r>
                </w:p>
                <w:p w14:paraId="00401D37" w14:textId="3A2B4D7F" w:rsidR="00A9459E" w:rsidRDefault="00A9459E" w:rsidP="00034FBE">
                  <w:pPr>
                    <w:pStyle w:val="Table-Entry"/>
                    <w:jc w:val="center"/>
                    <w:rPr>
                      <w:rFonts w:ascii="Verdana" w:hAnsi="Verdana"/>
                      <w:color w:val="auto"/>
                    </w:rPr>
                  </w:pPr>
                  <w:r>
                    <w:rPr>
                      <w:rFonts w:ascii="Verdana" w:hAnsi="Verdana"/>
                      <w:color w:val="auto"/>
                    </w:rPr>
                    <w:t>2014</w:t>
                  </w:r>
                  <w:r w:rsidR="00034FBE">
                    <w:rPr>
                      <w:rFonts w:ascii="Verdana" w:hAnsi="Verdana"/>
                      <w:color w:val="auto"/>
                    </w:rPr>
                    <w:t>–</w:t>
                  </w:r>
                  <w:r>
                    <w:rPr>
                      <w:rFonts w:ascii="Verdana" w:hAnsi="Verdana"/>
                      <w:color w:val="auto"/>
                    </w:rPr>
                    <w:t>16</w:t>
                  </w:r>
                </w:p>
              </w:tc>
              <w:tc>
                <w:tcPr>
                  <w:tcW w:w="1077" w:type="dxa"/>
                </w:tcPr>
                <w:p w14:paraId="36AD6D92" w14:textId="77777777" w:rsidR="00A9459E" w:rsidRDefault="00A9459E" w:rsidP="00034C5E">
                  <w:pPr>
                    <w:pStyle w:val="Table-Entry"/>
                    <w:jc w:val="center"/>
                    <w:rPr>
                      <w:rFonts w:ascii="Verdana" w:hAnsi="Verdana"/>
                      <w:color w:val="auto"/>
                    </w:rPr>
                  </w:pPr>
                  <w:r>
                    <w:rPr>
                      <w:rFonts w:ascii="Verdana" w:hAnsi="Verdana"/>
                      <w:color w:val="auto"/>
                    </w:rPr>
                    <w:t>State Mean</w:t>
                  </w:r>
                </w:p>
                <w:p w14:paraId="3651426C" w14:textId="77777777" w:rsidR="00A9459E" w:rsidRDefault="00A9459E" w:rsidP="00034C5E">
                  <w:pPr>
                    <w:pStyle w:val="Table-Entry"/>
                    <w:jc w:val="center"/>
                    <w:rPr>
                      <w:rFonts w:ascii="Verdana" w:hAnsi="Verdana"/>
                      <w:color w:val="auto"/>
                    </w:rPr>
                  </w:pPr>
                  <w:r>
                    <w:rPr>
                      <w:rFonts w:ascii="Verdana" w:hAnsi="Verdana"/>
                      <w:color w:val="auto"/>
                    </w:rPr>
                    <w:t>2015</w:t>
                  </w:r>
                </w:p>
              </w:tc>
            </w:tr>
            <w:tr w:rsidR="00A9459E" w14:paraId="349F5344" w14:textId="77777777" w:rsidTr="00B54E24">
              <w:tc>
                <w:tcPr>
                  <w:tcW w:w="1076" w:type="dxa"/>
                </w:tcPr>
                <w:p w14:paraId="248D0C2E" w14:textId="77777777" w:rsidR="00A9459E" w:rsidRDefault="00A9459E" w:rsidP="00034C5E">
                  <w:pPr>
                    <w:pStyle w:val="Table-Entry"/>
                    <w:rPr>
                      <w:rFonts w:ascii="Verdana" w:hAnsi="Verdana"/>
                      <w:color w:val="auto"/>
                    </w:rPr>
                  </w:pPr>
                  <w:r>
                    <w:rPr>
                      <w:rFonts w:ascii="Verdana" w:hAnsi="Verdana"/>
                      <w:color w:val="auto"/>
                    </w:rPr>
                    <w:t>Reading</w:t>
                  </w:r>
                </w:p>
              </w:tc>
              <w:tc>
                <w:tcPr>
                  <w:tcW w:w="1076" w:type="dxa"/>
                </w:tcPr>
                <w:p w14:paraId="521912C2" w14:textId="77777777" w:rsidR="00A9459E" w:rsidRDefault="00A9459E" w:rsidP="00034C5E">
                  <w:pPr>
                    <w:pStyle w:val="Table-Entry"/>
                    <w:jc w:val="center"/>
                    <w:rPr>
                      <w:rFonts w:ascii="Verdana" w:hAnsi="Verdana"/>
                      <w:color w:val="auto"/>
                    </w:rPr>
                  </w:pPr>
                  <w:r>
                    <w:rPr>
                      <w:rFonts w:ascii="Verdana" w:hAnsi="Verdana"/>
                      <w:color w:val="auto"/>
                    </w:rPr>
                    <w:t>60%</w:t>
                  </w:r>
                </w:p>
              </w:tc>
              <w:tc>
                <w:tcPr>
                  <w:tcW w:w="1076" w:type="dxa"/>
                </w:tcPr>
                <w:p w14:paraId="26F17259" w14:textId="77777777" w:rsidR="00A9459E" w:rsidRDefault="00A9459E" w:rsidP="00034C5E">
                  <w:pPr>
                    <w:pStyle w:val="Table-Entry"/>
                    <w:jc w:val="center"/>
                    <w:rPr>
                      <w:rFonts w:ascii="Verdana" w:hAnsi="Verdana"/>
                      <w:color w:val="auto"/>
                    </w:rPr>
                  </w:pPr>
                  <w:r>
                    <w:rPr>
                      <w:rFonts w:ascii="Verdana" w:hAnsi="Verdana"/>
                      <w:color w:val="auto"/>
                    </w:rPr>
                    <w:t>54%</w:t>
                  </w:r>
                </w:p>
              </w:tc>
              <w:tc>
                <w:tcPr>
                  <w:tcW w:w="1077" w:type="dxa"/>
                </w:tcPr>
                <w:p w14:paraId="17BC79F4" w14:textId="77777777" w:rsidR="00A9459E" w:rsidRDefault="00A9459E" w:rsidP="00034C5E">
                  <w:pPr>
                    <w:pStyle w:val="Table-Entry"/>
                    <w:jc w:val="center"/>
                    <w:rPr>
                      <w:rFonts w:ascii="Verdana" w:hAnsi="Verdana"/>
                      <w:color w:val="auto"/>
                    </w:rPr>
                  </w:pPr>
                  <w:r>
                    <w:rPr>
                      <w:rFonts w:ascii="Verdana" w:hAnsi="Verdana"/>
                      <w:color w:val="auto"/>
                    </w:rPr>
                    <w:t>53%</w:t>
                  </w:r>
                </w:p>
              </w:tc>
            </w:tr>
            <w:tr w:rsidR="00A9459E" w14:paraId="26831421" w14:textId="77777777" w:rsidTr="00B54E24">
              <w:tc>
                <w:tcPr>
                  <w:tcW w:w="1076" w:type="dxa"/>
                </w:tcPr>
                <w:p w14:paraId="5F4A386F" w14:textId="77777777" w:rsidR="00A9459E" w:rsidRDefault="00A9459E" w:rsidP="00034C5E">
                  <w:pPr>
                    <w:pStyle w:val="Table-Entry"/>
                    <w:rPr>
                      <w:rFonts w:ascii="Verdana" w:hAnsi="Verdana"/>
                      <w:color w:val="auto"/>
                    </w:rPr>
                  </w:pPr>
                  <w:r>
                    <w:rPr>
                      <w:rFonts w:ascii="Verdana" w:hAnsi="Verdana"/>
                      <w:color w:val="auto"/>
                    </w:rPr>
                    <w:t>Writing</w:t>
                  </w:r>
                </w:p>
              </w:tc>
              <w:tc>
                <w:tcPr>
                  <w:tcW w:w="1076" w:type="dxa"/>
                </w:tcPr>
                <w:p w14:paraId="3D63E745" w14:textId="77777777" w:rsidR="00A9459E" w:rsidRDefault="00A9459E" w:rsidP="00034C5E">
                  <w:pPr>
                    <w:pStyle w:val="Table-Entry"/>
                    <w:jc w:val="center"/>
                    <w:rPr>
                      <w:rFonts w:ascii="Verdana" w:hAnsi="Verdana"/>
                      <w:color w:val="auto"/>
                    </w:rPr>
                  </w:pPr>
                  <w:r>
                    <w:rPr>
                      <w:rFonts w:ascii="Verdana" w:hAnsi="Verdana"/>
                      <w:color w:val="auto"/>
                    </w:rPr>
                    <w:t>80%</w:t>
                  </w:r>
                </w:p>
              </w:tc>
              <w:tc>
                <w:tcPr>
                  <w:tcW w:w="1076" w:type="dxa"/>
                </w:tcPr>
                <w:p w14:paraId="3CAC1FF4" w14:textId="77777777" w:rsidR="00A9459E" w:rsidRDefault="00A9459E" w:rsidP="00034C5E">
                  <w:pPr>
                    <w:pStyle w:val="Table-Entry"/>
                    <w:jc w:val="center"/>
                    <w:rPr>
                      <w:rFonts w:ascii="Verdana" w:hAnsi="Verdana"/>
                      <w:color w:val="auto"/>
                    </w:rPr>
                  </w:pPr>
                  <w:r>
                    <w:rPr>
                      <w:rFonts w:ascii="Verdana" w:hAnsi="Verdana"/>
                      <w:color w:val="auto"/>
                    </w:rPr>
                    <w:t>72%</w:t>
                  </w:r>
                </w:p>
              </w:tc>
              <w:tc>
                <w:tcPr>
                  <w:tcW w:w="1077" w:type="dxa"/>
                </w:tcPr>
                <w:p w14:paraId="32529DF8" w14:textId="77777777" w:rsidR="00A9459E" w:rsidRDefault="00A9459E" w:rsidP="00034C5E">
                  <w:pPr>
                    <w:pStyle w:val="Table-Entry"/>
                    <w:jc w:val="center"/>
                    <w:rPr>
                      <w:rFonts w:ascii="Verdana" w:hAnsi="Verdana"/>
                      <w:color w:val="auto"/>
                    </w:rPr>
                  </w:pPr>
                  <w:r>
                    <w:rPr>
                      <w:rFonts w:ascii="Verdana" w:hAnsi="Verdana"/>
                      <w:color w:val="auto"/>
                    </w:rPr>
                    <w:t>59%</w:t>
                  </w:r>
                </w:p>
              </w:tc>
            </w:tr>
            <w:tr w:rsidR="00A9459E" w14:paraId="61F98948" w14:textId="77777777" w:rsidTr="00B54E24">
              <w:tc>
                <w:tcPr>
                  <w:tcW w:w="1076" w:type="dxa"/>
                </w:tcPr>
                <w:p w14:paraId="0DA7F216" w14:textId="77777777" w:rsidR="00A9459E" w:rsidRDefault="00A9459E" w:rsidP="00034C5E">
                  <w:pPr>
                    <w:pStyle w:val="Table-Entry"/>
                    <w:rPr>
                      <w:rFonts w:ascii="Verdana" w:hAnsi="Verdana"/>
                      <w:color w:val="auto"/>
                    </w:rPr>
                  </w:pPr>
                  <w:r>
                    <w:rPr>
                      <w:rFonts w:ascii="Verdana" w:hAnsi="Verdana"/>
                      <w:color w:val="auto"/>
                    </w:rPr>
                    <w:t>Number</w:t>
                  </w:r>
                </w:p>
              </w:tc>
              <w:tc>
                <w:tcPr>
                  <w:tcW w:w="1076" w:type="dxa"/>
                </w:tcPr>
                <w:p w14:paraId="7EFEDD07" w14:textId="77777777" w:rsidR="00A9459E" w:rsidRDefault="00A9459E" w:rsidP="00034C5E">
                  <w:pPr>
                    <w:pStyle w:val="Table-Entry"/>
                    <w:jc w:val="center"/>
                    <w:rPr>
                      <w:rFonts w:ascii="Verdana" w:hAnsi="Verdana"/>
                      <w:color w:val="auto"/>
                    </w:rPr>
                  </w:pPr>
                  <w:r>
                    <w:rPr>
                      <w:rFonts w:ascii="Verdana" w:hAnsi="Verdana"/>
                      <w:color w:val="auto"/>
                    </w:rPr>
                    <w:t>75%</w:t>
                  </w:r>
                </w:p>
              </w:tc>
              <w:tc>
                <w:tcPr>
                  <w:tcW w:w="1076" w:type="dxa"/>
                </w:tcPr>
                <w:p w14:paraId="127247BD" w14:textId="77777777" w:rsidR="00A9459E" w:rsidRDefault="00A9459E" w:rsidP="00034C5E">
                  <w:pPr>
                    <w:pStyle w:val="Table-Entry"/>
                    <w:jc w:val="center"/>
                    <w:rPr>
                      <w:rFonts w:ascii="Verdana" w:hAnsi="Verdana"/>
                      <w:color w:val="auto"/>
                    </w:rPr>
                  </w:pPr>
                  <w:r>
                    <w:rPr>
                      <w:rFonts w:ascii="Verdana" w:hAnsi="Verdana"/>
                      <w:color w:val="auto"/>
                    </w:rPr>
                    <w:t>59%</w:t>
                  </w:r>
                </w:p>
              </w:tc>
              <w:tc>
                <w:tcPr>
                  <w:tcW w:w="1077" w:type="dxa"/>
                </w:tcPr>
                <w:p w14:paraId="4536CA3E" w14:textId="77777777" w:rsidR="00A9459E" w:rsidRDefault="00A9459E" w:rsidP="00034C5E">
                  <w:pPr>
                    <w:pStyle w:val="Table-Entry"/>
                    <w:jc w:val="center"/>
                    <w:rPr>
                      <w:rFonts w:ascii="Verdana" w:hAnsi="Verdana"/>
                      <w:color w:val="auto"/>
                    </w:rPr>
                  </w:pPr>
                  <w:r>
                    <w:rPr>
                      <w:rFonts w:ascii="Verdana" w:hAnsi="Verdana"/>
                      <w:color w:val="auto"/>
                    </w:rPr>
                    <w:t>41%</w:t>
                  </w:r>
                </w:p>
              </w:tc>
            </w:tr>
          </w:tbl>
          <w:p w14:paraId="38BFF334" w14:textId="77777777" w:rsidR="00175AFF" w:rsidRDefault="00A9459E" w:rsidP="00034C5E">
            <w:pPr>
              <w:pStyle w:val="Table-Entry"/>
              <w:rPr>
                <w:rFonts w:ascii="Verdana" w:hAnsi="Verdana"/>
                <w:color w:val="auto"/>
              </w:rPr>
            </w:pPr>
            <w:r>
              <w:rPr>
                <w:rFonts w:ascii="Verdana" w:hAnsi="Verdana"/>
                <w:color w:val="auto"/>
              </w:rPr>
              <w:t xml:space="preserve">           </w:t>
            </w:r>
          </w:p>
          <w:p w14:paraId="1148D733" w14:textId="77777777" w:rsidR="00175AFF" w:rsidRDefault="00175AFF" w:rsidP="00034C5E">
            <w:pPr>
              <w:pStyle w:val="Table-Entry"/>
              <w:rPr>
                <w:rFonts w:ascii="Verdana" w:hAnsi="Verdana"/>
                <w:color w:val="auto"/>
              </w:rPr>
            </w:pPr>
          </w:p>
          <w:p w14:paraId="32747541" w14:textId="77777777" w:rsidR="00175AFF" w:rsidRDefault="00175AFF" w:rsidP="00034C5E">
            <w:pPr>
              <w:pStyle w:val="Table-Entry"/>
              <w:rPr>
                <w:rFonts w:ascii="Verdana" w:hAnsi="Verdana"/>
                <w:color w:val="auto"/>
              </w:rPr>
            </w:pPr>
          </w:p>
          <w:p w14:paraId="38C2FB28" w14:textId="77777777" w:rsidR="00175AFF" w:rsidRDefault="00175AFF" w:rsidP="00034C5E">
            <w:pPr>
              <w:pStyle w:val="Table-Entry"/>
              <w:rPr>
                <w:rFonts w:ascii="Verdana" w:hAnsi="Verdana"/>
                <w:color w:val="auto"/>
              </w:rPr>
            </w:pPr>
          </w:p>
          <w:p w14:paraId="2B29FE61" w14:textId="77777777" w:rsidR="00175AFF" w:rsidRDefault="00175AFF" w:rsidP="00034C5E">
            <w:pPr>
              <w:pStyle w:val="Table-Entry"/>
              <w:rPr>
                <w:rFonts w:ascii="Verdana" w:hAnsi="Verdana"/>
                <w:color w:val="auto"/>
              </w:rPr>
            </w:pPr>
          </w:p>
          <w:p w14:paraId="0510A8B5" w14:textId="77777777" w:rsidR="00175AFF" w:rsidRDefault="00175AFF" w:rsidP="00034C5E">
            <w:pPr>
              <w:pStyle w:val="Table-Entry"/>
              <w:rPr>
                <w:rFonts w:ascii="Verdana" w:hAnsi="Verdana"/>
                <w:color w:val="auto"/>
              </w:rPr>
            </w:pPr>
          </w:p>
          <w:p w14:paraId="3D148A6A" w14:textId="36E1D8D9" w:rsidR="00A9459E" w:rsidRDefault="00A9459E" w:rsidP="00034C5E">
            <w:pPr>
              <w:pStyle w:val="Table-Entry"/>
              <w:rPr>
                <w:rFonts w:ascii="Verdana" w:hAnsi="Verdana"/>
                <w:color w:val="auto"/>
              </w:rPr>
            </w:pPr>
            <w:r>
              <w:rPr>
                <w:rFonts w:ascii="Verdana" w:hAnsi="Verdana"/>
                <w:color w:val="auto"/>
              </w:rPr>
              <w:t xml:space="preserve"> </w:t>
            </w:r>
          </w:p>
          <w:p w14:paraId="580ED6A1" w14:textId="77777777" w:rsidR="00A9459E" w:rsidRDefault="00A9459E" w:rsidP="00034C5E">
            <w:pPr>
              <w:pStyle w:val="Table-Entry"/>
              <w:numPr>
                <w:ilvl w:val="0"/>
                <w:numId w:val="12"/>
              </w:numPr>
              <w:rPr>
                <w:rFonts w:ascii="Verdana" w:hAnsi="Verdana"/>
                <w:color w:val="auto"/>
              </w:rPr>
            </w:pPr>
            <w:r>
              <w:rPr>
                <w:rFonts w:ascii="Verdana" w:hAnsi="Verdana"/>
                <w:color w:val="auto"/>
              </w:rPr>
              <w:t xml:space="preserve">increase the percentage of Year 5 students achieving Bands 6, 7 and 8 NAPLAN over the next four years as follows: </w:t>
            </w:r>
          </w:p>
          <w:p w14:paraId="4C4CBB53" w14:textId="77777777" w:rsidR="00A9459E" w:rsidRDefault="00A9459E" w:rsidP="00034C5E">
            <w:pPr>
              <w:pStyle w:val="Table-Entry"/>
              <w:rPr>
                <w:rFonts w:ascii="Verdana" w:hAnsi="Verdana"/>
                <w:color w:val="auto"/>
              </w:rPr>
            </w:pPr>
          </w:p>
          <w:tbl>
            <w:tblPr>
              <w:tblStyle w:val="TableGrid"/>
              <w:tblW w:w="0" w:type="auto"/>
              <w:tblLook w:val="04A0" w:firstRow="1" w:lastRow="0" w:firstColumn="1" w:lastColumn="0" w:noHBand="0" w:noVBand="1"/>
            </w:tblPr>
            <w:tblGrid>
              <w:gridCol w:w="1076"/>
              <w:gridCol w:w="1076"/>
              <w:gridCol w:w="1076"/>
              <w:gridCol w:w="1077"/>
            </w:tblGrid>
            <w:tr w:rsidR="00A9459E" w14:paraId="75FA28B4" w14:textId="77777777" w:rsidTr="00B54E24">
              <w:tc>
                <w:tcPr>
                  <w:tcW w:w="1076" w:type="dxa"/>
                </w:tcPr>
                <w:p w14:paraId="36BB3B04" w14:textId="77777777" w:rsidR="00A9459E" w:rsidRDefault="00A9459E" w:rsidP="00034C5E">
                  <w:pPr>
                    <w:pStyle w:val="Table-Entry"/>
                    <w:rPr>
                      <w:rFonts w:ascii="Verdana" w:hAnsi="Verdana"/>
                      <w:color w:val="auto"/>
                    </w:rPr>
                  </w:pPr>
                </w:p>
                <w:p w14:paraId="47D3D674" w14:textId="77777777" w:rsidR="00A9459E" w:rsidRDefault="00A9459E" w:rsidP="00034C5E">
                  <w:pPr>
                    <w:pStyle w:val="Table-Entry"/>
                    <w:rPr>
                      <w:rFonts w:ascii="Verdana" w:hAnsi="Verdana"/>
                      <w:color w:val="auto"/>
                    </w:rPr>
                  </w:pPr>
                  <w:r>
                    <w:rPr>
                      <w:rFonts w:ascii="Verdana" w:hAnsi="Verdana"/>
                      <w:color w:val="auto"/>
                    </w:rPr>
                    <w:t>YEAR 5</w:t>
                  </w:r>
                </w:p>
              </w:tc>
              <w:tc>
                <w:tcPr>
                  <w:tcW w:w="1076" w:type="dxa"/>
                </w:tcPr>
                <w:p w14:paraId="24D6FD5A" w14:textId="77777777" w:rsidR="00A9459E" w:rsidRDefault="00A9459E" w:rsidP="00034C5E">
                  <w:pPr>
                    <w:pStyle w:val="Table-Entry"/>
                    <w:jc w:val="center"/>
                    <w:rPr>
                      <w:rFonts w:ascii="Verdana" w:hAnsi="Verdana"/>
                      <w:color w:val="auto"/>
                    </w:rPr>
                  </w:pPr>
                </w:p>
                <w:p w14:paraId="66C23E09" w14:textId="77777777" w:rsidR="00A9459E" w:rsidRDefault="00A9459E" w:rsidP="00034C5E">
                  <w:pPr>
                    <w:pStyle w:val="Table-Entry"/>
                    <w:jc w:val="center"/>
                    <w:rPr>
                      <w:rFonts w:ascii="Verdana" w:hAnsi="Verdana"/>
                      <w:color w:val="auto"/>
                    </w:rPr>
                  </w:pPr>
                  <w:r>
                    <w:rPr>
                      <w:rFonts w:ascii="Verdana" w:hAnsi="Verdana"/>
                      <w:color w:val="auto"/>
                    </w:rPr>
                    <w:t>Target</w:t>
                  </w:r>
                </w:p>
              </w:tc>
              <w:tc>
                <w:tcPr>
                  <w:tcW w:w="1076" w:type="dxa"/>
                </w:tcPr>
                <w:p w14:paraId="44D2BF07" w14:textId="77777777" w:rsidR="00A9459E" w:rsidRDefault="00A9459E" w:rsidP="00034C5E">
                  <w:pPr>
                    <w:pStyle w:val="Table-Entry"/>
                    <w:jc w:val="center"/>
                    <w:rPr>
                      <w:rFonts w:ascii="Verdana" w:hAnsi="Verdana"/>
                      <w:color w:val="auto"/>
                    </w:rPr>
                  </w:pPr>
                  <w:r>
                    <w:rPr>
                      <w:rFonts w:ascii="Verdana" w:hAnsi="Verdana"/>
                      <w:color w:val="auto"/>
                    </w:rPr>
                    <w:t>School Mean</w:t>
                  </w:r>
                </w:p>
                <w:p w14:paraId="63F74EA0" w14:textId="21D55A42" w:rsidR="00A9459E" w:rsidRDefault="00A9459E" w:rsidP="00034C5E">
                  <w:pPr>
                    <w:pStyle w:val="Table-Entry"/>
                    <w:jc w:val="center"/>
                    <w:rPr>
                      <w:rFonts w:ascii="Verdana" w:hAnsi="Verdana"/>
                      <w:color w:val="auto"/>
                    </w:rPr>
                  </w:pPr>
                  <w:r>
                    <w:rPr>
                      <w:rFonts w:ascii="Verdana" w:hAnsi="Verdana"/>
                      <w:color w:val="auto"/>
                    </w:rPr>
                    <w:t>2014</w:t>
                  </w:r>
                  <w:r w:rsidR="0048208C">
                    <w:rPr>
                      <w:rFonts w:ascii="Verdana" w:hAnsi="Verdana"/>
                      <w:color w:val="auto"/>
                    </w:rPr>
                    <w:t>–</w:t>
                  </w:r>
                  <w:r>
                    <w:rPr>
                      <w:rFonts w:ascii="Verdana" w:hAnsi="Verdana"/>
                      <w:color w:val="auto"/>
                    </w:rPr>
                    <w:t>16</w:t>
                  </w:r>
                </w:p>
              </w:tc>
              <w:tc>
                <w:tcPr>
                  <w:tcW w:w="1077" w:type="dxa"/>
                </w:tcPr>
                <w:p w14:paraId="21903D39" w14:textId="77777777" w:rsidR="00A9459E" w:rsidRDefault="00A9459E" w:rsidP="00034C5E">
                  <w:pPr>
                    <w:pStyle w:val="Table-Entry"/>
                    <w:jc w:val="center"/>
                    <w:rPr>
                      <w:rFonts w:ascii="Verdana" w:hAnsi="Verdana"/>
                      <w:color w:val="auto"/>
                    </w:rPr>
                  </w:pPr>
                  <w:r>
                    <w:rPr>
                      <w:rFonts w:ascii="Verdana" w:hAnsi="Verdana"/>
                      <w:color w:val="auto"/>
                    </w:rPr>
                    <w:t>State Mean</w:t>
                  </w:r>
                </w:p>
                <w:p w14:paraId="3589792B" w14:textId="77777777" w:rsidR="00A9459E" w:rsidRDefault="00A9459E" w:rsidP="00034C5E">
                  <w:pPr>
                    <w:pStyle w:val="Table-Entry"/>
                    <w:jc w:val="center"/>
                    <w:rPr>
                      <w:rFonts w:ascii="Verdana" w:hAnsi="Verdana"/>
                      <w:color w:val="auto"/>
                    </w:rPr>
                  </w:pPr>
                  <w:r>
                    <w:rPr>
                      <w:rFonts w:ascii="Verdana" w:hAnsi="Verdana"/>
                      <w:color w:val="auto"/>
                    </w:rPr>
                    <w:t>2015</w:t>
                  </w:r>
                </w:p>
              </w:tc>
            </w:tr>
            <w:tr w:rsidR="00A9459E" w14:paraId="003FC11D" w14:textId="77777777" w:rsidTr="00B54E24">
              <w:tc>
                <w:tcPr>
                  <w:tcW w:w="1076" w:type="dxa"/>
                </w:tcPr>
                <w:p w14:paraId="18F8898A" w14:textId="77777777" w:rsidR="00A9459E" w:rsidRDefault="00A9459E" w:rsidP="00034C5E">
                  <w:pPr>
                    <w:pStyle w:val="Table-Entry"/>
                    <w:rPr>
                      <w:rFonts w:ascii="Verdana" w:hAnsi="Verdana"/>
                      <w:color w:val="auto"/>
                    </w:rPr>
                  </w:pPr>
                  <w:r>
                    <w:rPr>
                      <w:rFonts w:ascii="Verdana" w:hAnsi="Verdana"/>
                      <w:color w:val="auto"/>
                    </w:rPr>
                    <w:t>Reading</w:t>
                  </w:r>
                </w:p>
              </w:tc>
              <w:tc>
                <w:tcPr>
                  <w:tcW w:w="1076" w:type="dxa"/>
                </w:tcPr>
                <w:p w14:paraId="11C12843" w14:textId="77777777" w:rsidR="00A9459E" w:rsidRDefault="00A9459E" w:rsidP="00034C5E">
                  <w:pPr>
                    <w:pStyle w:val="Table-Entry"/>
                    <w:jc w:val="center"/>
                    <w:rPr>
                      <w:rFonts w:ascii="Verdana" w:hAnsi="Verdana"/>
                      <w:color w:val="auto"/>
                    </w:rPr>
                  </w:pPr>
                  <w:r>
                    <w:rPr>
                      <w:rFonts w:ascii="Verdana" w:hAnsi="Verdana"/>
                      <w:color w:val="auto"/>
                    </w:rPr>
                    <w:t>80%</w:t>
                  </w:r>
                </w:p>
              </w:tc>
              <w:tc>
                <w:tcPr>
                  <w:tcW w:w="1076" w:type="dxa"/>
                </w:tcPr>
                <w:p w14:paraId="3A323D80" w14:textId="77777777" w:rsidR="00A9459E" w:rsidRDefault="00A9459E" w:rsidP="00034C5E">
                  <w:pPr>
                    <w:pStyle w:val="Table-Entry"/>
                    <w:jc w:val="center"/>
                    <w:rPr>
                      <w:rFonts w:ascii="Verdana" w:hAnsi="Verdana"/>
                      <w:color w:val="auto"/>
                    </w:rPr>
                  </w:pPr>
                  <w:r>
                    <w:rPr>
                      <w:rFonts w:ascii="Verdana" w:hAnsi="Verdana"/>
                      <w:color w:val="auto"/>
                    </w:rPr>
                    <w:t>66%</w:t>
                  </w:r>
                </w:p>
              </w:tc>
              <w:tc>
                <w:tcPr>
                  <w:tcW w:w="1077" w:type="dxa"/>
                </w:tcPr>
                <w:p w14:paraId="346E22F4" w14:textId="77777777" w:rsidR="00A9459E" w:rsidRDefault="00A9459E" w:rsidP="00034C5E">
                  <w:pPr>
                    <w:pStyle w:val="Table-Entry"/>
                    <w:jc w:val="center"/>
                    <w:rPr>
                      <w:rFonts w:ascii="Verdana" w:hAnsi="Verdana"/>
                      <w:color w:val="auto"/>
                    </w:rPr>
                  </w:pPr>
                  <w:r>
                    <w:rPr>
                      <w:rFonts w:ascii="Verdana" w:hAnsi="Verdana"/>
                      <w:color w:val="auto"/>
                    </w:rPr>
                    <w:t>61%</w:t>
                  </w:r>
                </w:p>
              </w:tc>
            </w:tr>
            <w:tr w:rsidR="00A9459E" w14:paraId="2E1ED718" w14:textId="77777777" w:rsidTr="00B54E24">
              <w:tc>
                <w:tcPr>
                  <w:tcW w:w="1076" w:type="dxa"/>
                </w:tcPr>
                <w:p w14:paraId="28E01A2D" w14:textId="77777777" w:rsidR="00A9459E" w:rsidRDefault="00A9459E" w:rsidP="00034C5E">
                  <w:pPr>
                    <w:pStyle w:val="Table-Entry"/>
                    <w:rPr>
                      <w:rFonts w:ascii="Verdana" w:hAnsi="Verdana"/>
                      <w:color w:val="auto"/>
                    </w:rPr>
                  </w:pPr>
                  <w:r>
                    <w:rPr>
                      <w:rFonts w:ascii="Verdana" w:hAnsi="Verdana"/>
                      <w:color w:val="auto"/>
                    </w:rPr>
                    <w:t>Writing</w:t>
                  </w:r>
                </w:p>
              </w:tc>
              <w:tc>
                <w:tcPr>
                  <w:tcW w:w="1076" w:type="dxa"/>
                </w:tcPr>
                <w:p w14:paraId="3859035F" w14:textId="77777777" w:rsidR="00A9459E" w:rsidRDefault="00A9459E" w:rsidP="00034C5E">
                  <w:pPr>
                    <w:pStyle w:val="Table-Entry"/>
                    <w:jc w:val="center"/>
                    <w:rPr>
                      <w:rFonts w:ascii="Verdana" w:hAnsi="Verdana"/>
                      <w:color w:val="auto"/>
                    </w:rPr>
                  </w:pPr>
                  <w:r>
                    <w:rPr>
                      <w:rFonts w:ascii="Verdana" w:hAnsi="Verdana"/>
                      <w:color w:val="auto"/>
                    </w:rPr>
                    <w:t>65%</w:t>
                  </w:r>
                </w:p>
              </w:tc>
              <w:tc>
                <w:tcPr>
                  <w:tcW w:w="1076" w:type="dxa"/>
                </w:tcPr>
                <w:p w14:paraId="49E31F44" w14:textId="77777777" w:rsidR="00A9459E" w:rsidRDefault="00A9459E" w:rsidP="00034C5E">
                  <w:pPr>
                    <w:pStyle w:val="Table-Entry"/>
                    <w:jc w:val="center"/>
                    <w:rPr>
                      <w:rFonts w:ascii="Verdana" w:hAnsi="Verdana"/>
                      <w:color w:val="auto"/>
                    </w:rPr>
                  </w:pPr>
                  <w:r>
                    <w:rPr>
                      <w:rFonts w:ascii="Verdana" w:hAnsi="Verdana"/>
                      <w:color w:val="auto"/>
                    </w:rPr>
                    <w:t>41%</w:t>
                  </w:r>
                </w:p>
              </w:tc>
              <w:tc>
                <w:tcPr>
                  <w:tcW w:w="1077" w:type="dxa"/>
                </w:tcPr>
                <w:p w14:paraId="29333FAF" w14:textId="77777777" w:rsidR="00A9459E" w:rsidRDefault="00A9459E" w:rsidP="00034C5E">
                  <w:pPr>
                    <w:pStyle w:val="Table-Entry"/>
                    <w:jc w:val="center"/>
                    <w:rPr>
                      <w:rFonts w:ascii="Verdana" w:hAnsi="Verdana"/>
                      <w:color w:val="auto"/>
                    </w:rPr>
                  </w:pPr>
                  <w:r>
                    <w:rPr>
                      <w:rFonts w:ascii="Verdana" w:hAnsi="Verdana"/>
                      <w:color w:val="auto"/>
                    </w:rPr>
                    <w:t>54%</w:t>
                  </w:r>
                </w:p>
              </w:tc>
            </w:tr>
            <w:tr w:rsidR="00A9459E" w14:paraId="6A551822" w14:textId="77777777" w:rsidTr="00B54E24">
              <w:tc>
                <w:tcPr>
                  <w:tcW w:w="1076" w:type="dxa"/>
                </w:tcPr>
                <w:p w14:paraId="702E883C" w14:textId="77777777" w:rsidR="00A9459E" w:rsidRDefault="00A9459E" w:rsidP="00034C5E">
                  <w:pPr>
                    <w:pStyle w:val="Table-Entry"/>
                    <w:rPr>
                      <w:rFonts w:ascii="Verdana" w:hAnsi="Verdana"/>
                      <w:color w:val="auto"/>
                    </w:rPr>
                  </w:pPr>
                  <w:r>
                    <w:rPr>
                      <w:rFonts w:ascii="Verdana" w:hAnsi="Verdana"/>
                      <w:color w:val="auto"/>
                    </w:rPr>
                    <w:t>Number</w:t>
                  </w:r>
                </w:p>
              </w:tc>
              <w:tc>
                <w:tcPr>
                  <w:tcW w:w="1076" w:type="dxa"/>
                </w:tcPr>
                <w:p w14:paraId="442D61CE" w14:textId="77777777" w:rsidR="00A9459E" w:rsidRDefault="00A9459E" w:rsidP="00034C5E">
                  <w:pPr>
                    <w:pStyle w:val="Table-Entry"/>
                    <w:jc w:val="center"/>
                    <w:rPr>
                      <w:rFonts w:ascii="Verdana" w:hAnsi="Verdana"/>
                      <w:color w:val="auto"/>
                    </w:rPr>
                  </w:pPr>
                  <w:r>
                    <w:rPr>
                      <w:rFonts w:ascii="Verdana" w:hAnsi="Verdana"/>
                      <w:color w:val="auto"/>
                    </w:rPr>
                    <w:t>70%</w:t>
                  </w:r>
                </w:p>
              </w:tc>
              <w:tc>
                <w:tcPr>
                  <w:tcW w:w="1076" w:type="dxa"/>
                </w:tcPr>
                <w:p w14:paraId="1C0DE6FE" w14:textId="77777777" w:rsidR="00A9459E" w:rsidRDefault="00A9459E" w:rsidP="00034C5E">
                  <w:pPr>
                    <w:pStyle w:val="Table-Entry"/>
                    <w:jc w:val="center"/>
                    <w:rPr>
                      <w:rFonts w:ascii="Verdana" w:hAnsi="Verdana"/>
                      <w:color w:val="auto"/>
                    </w:rPr>
                  </w:pPr>
                  <w:r>
                    <w:rPr>
                      <w:rFonts w:ascii="Verdana" w:hAnsi="Verdana"/>
                      <w:color w:val="auto"/>
                    </w:rPr>
                    <w:t>51%</w:t>
                  </w:r>
                </w:p>
              </w:tc>
              <w:tc>
                <w:tcPr>
                  <w:tcW w:w="1077" w:type="dxa"/>
                </w:tcPr>
                <w:p w14:paraId="5C6358DE" w14:textId="77777777" w:rsidR="00A9459E" w:rsidRDefault="00A9459E" w:rsidP="00034C5E">
                  <w:pPr>
                    <w:pStyle w:val="Table-Entry"/>
                    <w:jc w:val="center"/>
                    <w:rPr>
                      <w:rFonts w:ascii="Verdana" w:hAnsi="Verdana"/>
                      <w:color w:val="auto"/>
                    </w:rPr>
                  </w:pPr>
                  <w:r>
                    <w:rPr>
                      <w:rFonts w:ascii="Verdana" w:hAnsi="Verdana"/>
                      <w:color w:val="auto"/>
                    </w:rPr>
                    <w:t>59%</w:t>
                  </w:r>
                </w:p>
              </w:tc>
            </w:tr>
          </w:tbl>
          <w:p w14:paraId="5D8BC83C" w14:textId="77777777" w:rsidR="00A9459E" w:rsidRPr="00C6587F" w:rsidRDefault="00A9459E" w:rsidP="00034C5E">
            <w:pPr>
              <w:pStyle w:val="Table-Entry"/>
              <w:rPr>
                <w:rFonts w:ascii="Verdana" w:hAnsi="Verdana"/>
                <w:color w:val="auto"/>
              </w:rPr>
            </w:pPr>
          </w:p>
          <w:p w14:paraId="568D979D" w14:textId="3CEC9E62" w:rsidR="00A9459E" w:rsidRDefault="00A9459E" w:rsidP="00034C5E">
            <w:pPr>
              <w:pStyle w:val="Table-Entry"/>
              <w:numPr>
                <w:ilvl w:val="0"/>
                <w:numId w:val="12"/>
              </w:numPr>
              <w:rPr>
                <w:rFonts w:ascii="Verdana" w:hAnsi="Verdana"/>
                <w:color w:val="auto"/>
              </w:rPr>
            </w:pPr>
            <w:r w:rsidRPr="00E014D4">
              <w:rPr>
                <w:rFonts w:ascii="Verdana" w:hAnsi="Verdana"/>
                <w:color w:val="auto"/>
              </w:rPr>
              <w:t>increase the percentage of students at Foundation</w:t>
            </w:r>
            <w:r w:rsidR="0048208C">
              <w:rPr>
                <w:rFonts w:ascii="Verdana" w:hAnsi="Verdana"/>
                <w:color w:val="auto"/>
              </w:rPr>
              <w:t>–</w:t>
            </w:r>
            <w:r w:rsidRPr="00E014D4">
              <w:rPr>
                <w:rFonts w:ascii="Verdana" w:hAnsi="Verdana"/>
                <w:color w:val="auto"/>
              </w:rPr>
              <w:t>Year 6 achieving A and B levels according to AusVELS teacher judgements using 2016 data as the benchmark</w:t>
            </w:r>
            <w:r>
              <w:rPr>
                <w:rFonts w:ascii="Verdana" w:hAnsi="Verdana"/>
                <w:color w:val="auto"/>
              </w:rPr>
              <w:t xml:space="preserve"> over the next four years.</w:t>
            </w:r>
          </w:p>
          <w:p w14:paraId="0B9C30ED" w14:textId="0F7E9B92" w:rsidR="00A9459E" w:rsidRPr="00EF2E59" w:rsidRDefault="00A9459E" w:rsidP="00A05F71">
            <w:pPr>
              <w:rPr>
                <w:rFonts w:ascii="Arial" w:hAnsi="Arial" w:cs="Arial"/>
                <w:sz w:val="18"/>
                <w:szCs w:val="18"/>
                <w:highlight w:val="lightGray"/>
              </w:rPr>
            </w:pPr>
          </w:p>
        </w:tc>
      </w:tr>
      <w:tr w:rsidR="00A9459E" w14:paraId="799952FE" w14:textId="38395324" w:rsidTr="00A04DF3">
        <w:trPr>
          <w:trHeight w:val="2277"/>
        </w:trPr>
        <w:tc>
          <w:tcPr>
            <w:tcW w:w="6663" w:type="dxa"/>
            <w:tcBorders>
              <w:bottom w:val="single" w:sz="4" w:space="0" w:color="auto"/>
            </w:tcBorders>
            <w:shd w:val="clear" w:color="auto" w:fill="DAEEF3" w:themeFill="accent5" w:themeFillTint="33"/>
          </w:tcPr>
          <w:p w14:paraId="5711AD09" w14:textId="1906C702" w:rsidR="00A9459E" w:rsidRPr="00EF2E59" w:rsidRDefault="00A9459E" w:rsidP="006569E2">
            <w:pPr>
              <w:rPr>
                <w:rFonts w:ascii="Arial" w:hAnsi="Arial" w:cs="Arial"/>
                <w:sz w:val="18"/>
                <w:szCs w:val="18"/>
                <w:highlight w:val="lightGray"/>
              </w:rPr>
            </w:pPr>
          </w:p>
          <w:p w14:paraId="75BB47C5" w14:textId="2CBD369F" w:rsidR="00A9459E" w:rsidRPr="00EF2E59" w:rsidRDefault="00A9459E" w:rsidP="006569E2">
            <w:pPr>
              <w:rPr>
                <w:rFonts w:ascii="Arial" w:hAnsi="Arial" w:cs="Arial"/>
                <w:b/>
                <w:sz w:val="18"/>
                <w:szCs w:val="18"/>
                <w:u w:val="single"/>
              </w:rPr>
            </w:pPr>
            <w:r w:rsidRPr="00EF2E59">
              <w:rPr>
                <w:rFonts w:ascii="Arial" w:hAnsi="Arial" w:cs="Arial"/>
                <w:b/>
                <w:sz w:val="18"/>
                <w:szCs w:val="18"/>
                <w:u w:val="single"/>
              </w:rPr>
              <w:t xml:space="preserve">Teaching and Learning </w:t>
            </w:r>
          </w:p>
          <w:p w14:paraId="19BCEB1B" w14:textId="59AD7E73" w:rsidR="00A9459E" w:rsidRPr="00EF2E59" w:rsidRDefault="00A9459E" w:rsidP="00353CA5">
            <w:pPr>
              <w:pStyle w:val="Table-Entry"/>
              <w:rPr>
                <w:color w:val="auto"/>
              </w:rPr>
            </w:pPr>
            <w:r w:rsidRPr="00EF2E59">
              <w:rPr>
                <w:color w:val="auto"/>
              </w:rPr>
              <w:t>To empower staff to lift student achievement through building teacher capacity in knowledge of curriculum content, pedagogical knowledge and data literacy.</w:t>
            </w:r>
          </w:p>
        </w:tc>
        <w:tc>
          <w:tcPr>
            <w:tcW w:w="2694" w:type="dxa"/>
            <w:tcBorders>
              <w:bottom w:val="single" w:sz="4" w:space="0" w:color="auto"/>
            </w:tcBorders>
            <w:shd w:val="clear" w:color="auto" w:fill="DAEEF3" w:themeFill="accent5" w:themeFillTint="33"/>
          </w:tcPr>
          <w:p w14:paraId="0F85CA87" w14:textId="77777777" w:rsidR="00A9459E" w:rsidRDefault="00A9459E" w:rsidP="00A05F71">
            <w:pPr>
              <w:rPr>
                <w:rFonts w:ascii="Arial" w:hAnsi="Arial" w:cs="Arial"/>
                <w:b/>
                <w:i/>
                <w:sz w:val="18"/>
                <w:szCs w:val="18"/>
              </w:rPr>
            </w:pPr>
          </w:p>
          <w:p w14:paraId="1AB763DA" w14:textId="087E6EA0" w:rsidR="00A9459E" w:rsidRPr="00EF2E59" w:rsidRDefault="00A9459E" w:rsidP="00A05F71">
            <w:pPr>
              <w:rPr>
                <w:rFonts w:ascii="Arial" w:hAnsi="Arial" w:cs="Arial"/>
                <w:b/>
                <w:i/>
                <w:sz w:val="18"/>
                <w:szCs w:val="18"/>
              </w:rPr>
            </w:pPr>
            <w:r w:rsidRPr="000C1E63">
              <w:rPr>
                <w:rFonts w:ascii="Arial" w:hAnsi="Arial" w:cs="Arial"/>
                <w:b/>
                <w:sz w:val="18"/>
                <w:szCs w:val="18"/>
              </w:rPr>
              <w:t>Excellence in teaching and learning –</w:t>
            </w:r>
            <w:r>
              <w:rPr>
                <w:rFonts w:ascii="Arial" w:hAnsi="Arial" w:cs="Arial"/>
                <w:b/>
                <w:i/>
                <w:sz w:val="18"/>
                <w:szCs w:val="18"/>
              </w:rPr>
              <w:t xml:space="preserve"> Curriculum planning and assessment</w:t>
            </w:r>
          </w:p>
          <w:p w14:paraId="2D2205B0" w14:textId="77777777" w:rsidR="00A9459E" w:rsidRPr="00EF2E59" w:rsidRDefault="00A9459E" w:rsidP="00A05F71">
            <w:pPr>
              <w:rPr>
                <w:rFonts w:ascii="Arial" w:hAnsi="Arial" w:cs="Arial"/>
                <w:b/>
                <w:sz w:val="18"/>
                <w:szCs w:val="18"/>
              </w:rPr>
            </w:pPr>
          </w:p>
        </w:tc>
        <w:tc>
          <w:tcPr>
            <w:tcW w:w="6615" w:type="dxa"/>
            <w:vMerge/>
            <w:tcBorders>
              <w:bottom w:val="single" w:sz="4" w:space="0" w:color="auto"/>
            </w:tcBorders>
            <w:shd w:val="clear" w:color="auto" w:fill="DAEEF3" w:themeFill="accent5" w:themeFillTint="33"/>
          </w:tcPr>
          <w:p w14:paraId="6EDB9969" w14:textId="19631703" w:rsidR="00A9459E" w:rsidRPr="00EF2E59" w:rsidRDefault="00A9459E" w:rsidP="00A05F71">
            <w:pPr>
              <w:pStyle w:val="Table-Entry"/>
              <w:numPr>
                <w:ilvl w:val="0"/>
                <w:numId w:val="4"/>
              </w:numPr>
              <w:rPr>
                <w:color w:val="auto"/>
              </w:rPr>
            </w:pPr>
          </w:p>
        </w:tc>
        <w:tc>
          <w:tcPr>
            <w:tcW w:w="6615" w:type="dxa"/>
            <w:vMerge/>
            <w:tcBorders>
              <w:bottom w:val="single" w:sz="4" w:space="0" w:color="auto"/>
            </w:tcBorders>
            <w:shd w:val="clear" w:color="auto" w:fill="DAEEF3" w:themeFill="accent5" w:themeFillTint="33"/>
          </w:tcPr>
          <w:p w14:paraId="0A376F23" w14:textId="03398B2A" w:rsidR="00A9459E" w:rsidRPr="00EF2E59" w:rsidRDefault="00A9459E" w:rsidP="00A05F71">
            <w:pPr>
              <w:rPr>
                <w:rFonts w:ascii="Arial" w:hAnsi="Arial" w:cs="Arial"/>
                <w:sz w:val="18"/>
                <w:szCs w:val="18"/>
                <w:highlight w:val="lightGray"/>
              </w:rPr>
            </w:pPr>
          </w:p>
        </w:tc>
      </w:tr>
      <w:tr w:rsidR="002D1E23" w14:paraId="714DC334" w14:textId="77777777" w:rsidTr="00184C33">
        <w:trPr>
          <w:trHeight w:val="438"/>
        </w:trPr>
        <w:tc>
          <w:tcPr>
            <w:tcW w:w="6663" w:type="dxa"/>
            <w:shd w:val="clear" w:color="auto" w:fill="F2F2F2" w:themeFill="background1" w:themeFillShade="F2"/>
          </w:tcPr>
          <w:p w14:paraId="2C0544FB" w14:textId="77777777" w:rsidR="002D1E23" w:rsidRPr="00EF2E59" w:rsidRDefault="002D1E23" w:rsidP="002D1E23">
            <w:pPr>
              <w:pStyle w:val="Table-Entry"/>
              <w:rPr>
                <w:b/>
              </w:rPr>
            </w:pPr>
          </w:p>
          <w:p w14:paraId="28AE3F00" w14:textId="77777777" w:rsidR="002D1E23" w:rsidRPr="00EF2E59" w:rsidRDefault="002D1E23" w:rsidP="002D1E23">
            <w:pPr>
              <w:pStyle w:val="Table-Entry"/>
              <w:rPr>
                <w:b/>
                <w:color w:val="auto"/>
                <w:u w:val="single"/>
              </w:rPr>
            </w:pPr>
            <w:r w:rsidRPr="00EF2E59">
              <w:rPr>
                <w:b/>
                <w:color w:val="auto"/>
                <w:u w:val="single"/>
              </w:rPr>
              <w:t>Engagement</w:t>
            </w:r>
          </w:p>
          <w:p w14:paraId="1EC33712" w14:textId="7751DB26" w:rsidR="009C520A" w:rsidRPr="00EF2E59" w:rsidRDefault="002D1E23" w:rsidP="00F62007">
            <w:pPr>
              <w:pStyle w:val="Table-Entry"/>
              <w:spacing w:before="60"/>
              <w:rPr>
                <w:color w:val="auto"/>
              </w:rPr>
            </w:pPr>
            <w:r w:rsidRPr="00EF2E59">
              <w:rPr>
                <w:color w:val="auto"/>
              </w:rPr>
              <w:t>To develop students’ resilience and confidence to enable them to participate effectively in the school community and the range of situations they may face.</w:t>
            </w:r>
          </w:p>
        </w:tc>
        <w:tc>
          <w:tcPr>
            <w:tcW w:w="2694" w:type="dxa"/>
            <w:shd w:val="clear" w:color="auto" w:fill="F2F2F2" w:themeFill="background1" w:themeFillShade="F2"/>
          </w:tcPr>
          <w:p w14:paraId="7B0088B2" w14:textId="65393F8E" w:rsidR="002D1E23" w:rsidRPr="00EF2E59" w:rsidRDefault="002D1E23" w:rsidP="00A9459E">
            <w:pPr>
              <w:rPr>
                <w:rFonts w:ascii="Arial" w:hAnsi="Arial" w:cs="Arial"/>
                <w:b/>
                <w:i/>
                <w:sz w:val="18"/>
                <w:szCs w:val="18"/>
              </w:rPr>
            </w:pPr>
          </w:p>
          <w:p w14:paraId="7566AE16" w14:textId="77777777" w:rsidR="002D1E23" w:rsidRDefault="002D1E23" w:rsidP="002D1E23">
            <w:pPr>
              <w:spacing w:before="120"/>
              <w:rPr>
                <w:rFonts w:ascii="Arial" w:hAnsi="Arial" w:cs="Arial"/>
                <w:b/>
                <w:sz w:val="18"/>
                <w:szCs w:val="18"/>
              </w:rPr>
            </w:pPr>
          </w:p>
          <w:p w14:paraId="42247F83" w14:textId="1EAF36ED" w:rsidR="000C1E63" w:rsidRPr="00EF2E59" w:rsidRDefault="000C1E63" w:rsidP="002D1E23">
            <w:pPr>
              <w:spacing w:before="120"/>
              <w:rPr>
                <w:rFonts w:ascii="Arial" w:hAnsi="Arial" w:cs="Arial"/>
                <w:b/>
                <w:sz w:val="18"/>
                <w:szCs w:val="18"/>
              </w:rPr>
            </w:pPr>
            <w:r>
              <w:rPr>
                <w:rFonts w:ascii="Arial" w:hAnsi="Arial" w:cs="Arial"/>
                <w:b/>
                <w:sz w:val="18"/>
                <w:szCs w:val="18"/>
              </w:rPr>
              <w:t xml:space="preserve">Positive climate for learning – </w:t>
            </w:r>
            <w:r w:rsidRPr="000C1E63">
              <w:rPr>
                <w:rFonts w:ascii="Arial" w:hAnsi="Arial" w:cs="Arial"/>
                <w:b/>
                <w:i/>
                <w:sz w:val="18"/>
                <w:szCs w:val="18"/>
              </w:rPr>
              <w:t>Setting expectations and promoting inclusion</w:t>
            </w:r>
            <w:r>
              <w:rPr>
                <w:rFonts w:ascii="Arial" w:hAnsi="Arial" w:cs="Arial"/>
                <w:b/>
                <w:sz w:val="18"/>
                <w:szCs w:val="18"/>
              </w:rPr>
              <w:t xml:space="preserve"> </w:t>
            </w:r>
          </w:p>
        </w:tc>
        <w:tc>
          <w:tcPr>
            <w:tcW w:w="6615" w:type="dxa"/>
            <w:shd w:val="clear" w:color="auto" w:fill="F2F2F2" w:themeFill="background1" w:themeFillShade="F2"/>
          </w:tcPr>
          <w:p w14:paraId="5E8903C8" w14:textId="4AF1E0D0" w:rsidR="002D1E23" w:rsidRPr="00EF2E59" w:rsidRDefault="002D1E23" w:rsidP="002D1E23">
            <w:pPr>
              <w:rPr>
                <w:rFonts w:ascii="Arial" w:hAnsi="Arial" w:cs="Arial"/>
                <w:sz w:val="18"/>
                <w:szCs w:val="18"/>
                <w:highlight w:val="lightGray"/>
              </w:rPr>
            </w:pPr>
          </w:p>
          <w:p w14:paraId="52B5E42B" w14:textId="77777777" w:rsidR="002D1E23" w:rsidRDefault="00E916DE" w:rsidP="002D1E23">
            <w:pPr>
              <w:pStyle w:val="Table-Entry"/>
              <w:numPr>
                <w:ilvl w:val="0"/>
                <w:numId w:val="10"/>
              </w:numPr>
              <w:rPr>
                <w:rFonts w:ascii="Verdana" w:hAnsi="Verdana"/>
                <w:color w:val="auto"/>
              </w:rPr>
            </w:pPr>
            <w:r>
              <w:rPr>
                <w:rFonts w:ascii="Verdana" w:hAnsi="Verdana"/>
                <w:color w:val="auto"/>
              </w:rPr>
              <w:t xml:space="preserve">continue the promotion of the value of regular attendance and the cumulative impact of absenteeism on student achievement, engagement and connectedness to the broader school community </w:t>
            </w:r>
          </w:p>
          <w:p w14:paraId="5E43CAF8" w14:textId="77777777" w:rsidR="00E916DE" w:rsidRDefault="00E916DE" w:rsidP="00E916DE">
            <w:pPr>
              <w:pStyle w:val="Table-Entry"/>
              <w:ind w:left="720"/>
              <w:rPr>
                <w:rFonts w:ascii="Verdana" w:hAnsi="Verdana"/>
                <w:color w:val="auto"/>
              </w:rPr>
            </w:pPr>
          </w:p>
          <w:p w14:paraId="2BD82A0E" w14:textId="78E40293" w:rsidR="00E916DE" w:rsidRPr="00E916DE" w:rsidRDefault="00E916DE" w:rsidP="00E916DE">
            <w:pPr>
              <w:pStyle w:val="Table-Entry"/>
              <w:numPr>
                <w:ilvl w:val="0"/>
                <w:numId w:val="10"/>
              </w:numPr>
              <w:rPr>
                <w:rFonts w:ascii="Verdana" w:hAnsi="Verdana"/>
                <w:b/>
                <w:color w:val="auto"/>
              </w:rPr>
            </w:pPr>
            <w:r>
              <w:rPr>
                <w:rFonts w:ascii="Verdana" w:hAnsi="Verdana"/>
                <w:color w:val="auto"/>
              </w:rPr>
              <w:t>develop, refine and document clear behavior management processes to assist the school intent to promote attitudes across the school community the supports its Gr8 Values program</w:t>
            </w:r>
          </w:p>
          <w:p w14:paraId="69CE78D0" w14:textId="77777777" w:rsidR="00E916DE" w:rsidRPr="00E916DE" w:rsidRDefault="00E916DE" w:rsidP="00E916DE">
            <w:pPr>
              <w:pStyle w:val="Table-Entry"/>
              <w:rPr>
                <w:rFonts w:ascii="Verdana" w:hAnsi="Verdana"/>
                <w:b/>
                <w:color w:val="auto"/>
              </w:rPr>
            </w:pPr>
          </w:p>
          <w:p w14:paraId="1ED229FD" w14:textId="77777777" w:rsidR="00E916DE" w:rsidRPr="004F2DF3" w:rsidRDefault="00E916DE" w:rsidP="00E916DE">
            <w:pPr>
              <w:pStyle w:val="Table-Entry"/>
              <w:numPr>
                <w:ilvl w:val="0"/>
                <w:numId w:val="10"/>
              </w:numPr>
              <w:rPr>
                <w:rFonts w:ascii="Verdana" w:hAnsi="Verdana"/>
                <w:b/>
                <w:color w:val="auto"/>
              </w:rPr>
            </w:pPr>
            <w:r>
              <w:rPr>
                <w:rFonts w:ascii="Verdana" w:hAnsi="Verdana"/>
                <w:color w:val="auto"/>
              </w:rPr>
              <w:t>investigate available products to upskill staff in order to implement sustainable practices to build resilience and confidence</w:t>
            </w:r>
          </w:p>
          <w:p w14:paraId="7FA18CA6" w14:textId="77777777" w:rsidR="00E916DE" w:rsidRPr="00602586" w:rsidRDefault="00E916DE" w:rsidP="00E916DE">
            <w:pPr>
              <w:pStyle w:val="Table-Entry"/>
              <w:rPr>
                <w:rFonts w:ascii="Verdana" w:hAnsi="Verdana"/>
                <w:b/>
                <w:color w:val="auto"/>
              </w:rPr>
            </w:pPr>
          </w:p>
          <w:p w14:paraId="739DAFEB" w14:textId="77777777" w:rsidR="00E916DE" w:rsidRPr="004F2DF3" w:rsidRDefault="00E916DE" w:rsidP="00E916DE">
            <w:pPr>
              <w:pStyle w:val="Table-Entry"/>
              <w:numPr>
                <w:ilvl w:val="0"/>
                <w:numId w:val="10"/>
              </w:numPr>
              <w:rPr>
                <w:rFonts w:ascii="Verdana" w:hAnsi="Verdana"/>
                <w:b/>
                <w:color w:val="auto"/>
              </w:rPr>
            </w:pPr>
            <w:r w:rsidRPr="004F2DF3">
              <w:rPr>
                <w:rFonts w:ascii="Verdana" w:hAnsi="Verdana"/>
                <w:color w:val="auto"/>
              </w:rPr>
              <w:t>develop further opportunities for student leadership, student voice, student feedback and student</w:t>
            </w:r>
            <w:r>
              <w:rPr>
                <w:rFonts w:ascii="Verdana" w:hAnsi="Verdana"/>
                <w:color w:val="auto"/>
              </w:rPr>
              <w:t xml:space="preserve"> ownership of their learning</w:t>
            </w:r>
          </w:p>
          <w:p w14:paraId="0372AEB4" w14:textId="77777777" w:rsidR="00E916DE" w:rsidRPr="00602586" w:rsidRDefault="00E916DE" w:rsidP="00E916DE">
            <w:pPr>
              <w:pStyle w:val="Table-Entry"/>
              <w:rPr>
                <w:rFonts w:ascii="Verdana" w:hAnsi="Verdana"/>
                <w:b/>
                <w:color w:val="auto"/>
              </w:rPr>
            </w:pPr>
          </w:p>
          <w:p w14:paraId="61A4EB42" w14:textId="77777777" w:rsidR="00E916DE" w:rsidRPr="004F2DF3" w:rsidRDefault="00E916DE" w:rsidP="00E916DE">
            <w:pPr>
              <w:pStyle w:val="Table-Entry"/>
              <w:numPr>
                <w:ilvl w:val="0"/>
                <w:numId w:val="10"/>
              </w:numPr>
              <w:rPr>
                <w:rFonts w:ascii="Verdana" w:hAnsi="Verdana"/>
                <w:b/>
                <w:color w:val="auto"/>
              </w:rPr>
            </w:pPr>
            <w:r>
              <w:rPr>
                <w:rFonts w:ascii="Verdana" w:hAnsi="Verdana"/>
                <w:color w:val="auto"/>
              </w:rPr>
              <w:t>develop a consistent whole-school approach to student management</w:t>
            </w:r>
          </w:p>
          <w:p w14:paraId="0EE221D7" w14:textId="77777777" w:rsidR="00E916DE" w:rsidRPr="00602586" w:rsidRDefault="00E916DE" w:rsidP="00E916DE">
            <w:pPr>
              <w:pStyle w:val="Table-Entry"/>
              <w:rPr>
                <w:rFonts w:ascii="Verdana" w:hAnsi="Verdana"/>
                <w:b/>
                <w:color w:val="auto"/>
              </w:rPr>
            </w:pPr>
          </w:p>
          <w:p w14:paraId="1438E6F0" w14:textId="77777777" w:rsidR="00E916DE" w:rsidRPr="004F2DF3" w:rsidRDefault="00E916DE" w:rsidP="00E916DE">
            <w:pPr>
              <w:pStyle w:val="Table-Entry"/>
              <w:numPr>
                <w:ilvl w:val="0"/>
                <w:numId w:val="10"/>
              </w:numPr>
              <w:rPr>
                <w:rFonts w:ascii="Verdana" w:hAnsi="Verdana"/>
                <w:b/>
                <w:color w:val="auto"/>
              </w:rPr>
            </w:pPr>
            <w:r>
              <w:rPr>
                <w:rFonts w:ascii="Verdana" w:hAnsi="Verdana"/>
                <w:color w:val="auto"/>
              </w:rPr>
              <w:t>review and refine the Gr8 people program</w:t>
            </w:r>
          </w:p>
          <w:p w14:paraId="660030A5" w14:textId="77777777" w:rsidR="00E916DE" w:rsidRPr="00602586" w:rsidRDefault="00E916DE" w:rsidP="00E916DE">
            <w:pPr>
              <w:pStyle w:val="Table-Entry"/>
              <w:rPr>
                <w:rFonts w:ascii="Verdana" w:hAnsi="Verdana"/>
                <w:b/>
                <w:color w:val="auto"/>
              </w:rPr>
            </w:pPr>
          </w:p>
          <w:p w14:paraId="6DC94A1A" w14:textId="77777777" w:rsidR="00E916DE" w:rsidRDefault="00E916DE" w:rsidP="00E916DE">
            <w:pPr>
              <w:pStyle w:val="Table-Entry"/>
              <w:numPr>
                <w:ilvl w:val="0"/>
                <w:numId w:val="10"/>
              </w:numPr>
              <w:rPr>
                <w:rFonts w:ascii="Verdana" w:hAnsi="Verdana"/>
                <w:color w:val="auto"/>
              </w:rPr>
            </w:pPr>
            <w:r w:rsidRPr="004F2DF3">
              <w:rPr>
                <w:rFonts w:ascii="Verdana" w:hAnsi="Verdana"/>
                <w:color w:val="auto"/>
              </w:rPr>
              <w:t>conduct follow-up activities in response to ATSS and school surveys.</w:t>
            </w:r>
          </w:p>
          <w:p w14:paraId="5E2CC9E5" w14:textId="77777777" w:rsidR="00175AFF" w:rsidRDefault="00175AFF" w:rsidP="00175AFF">
            <w:pPr>
              <w:pStyle w:val="ListParagraph"/>
              <w:rPr>
                <w:rFonts w:ascii="Verdana" w:hAnsi="Verdana"/>
              </w:rPr>
            </w:pPr>
          </w:p>
          <w:p w14:paraId="0D3C937E" w14:textId="5B4183A2" w:rsidR="00175AFF" w:rsidRPr="00E916DE" w:rsidRDefault="00175AFF" w:rsidP="00175AFF">
            <w:pPr>
              <w:pStyle w:val="Table-Entry"/>
              <w:ind w:left="720"/>
              <w:rPr>
                <w:rFonts w:ascii="Verdana" w:hAnsi="Verdana"/>
                <w:color w:val="auto"/>
              </w:rPr>
            </w:pPr>
          </w:p>
        </w:tc>
        <w:tc>
          <w:tcPr>
            <w:tcW w:w="6615" w:type="dxa"/>
            <w:shd w:val="clear" w:color="auto" w:fill="F2F2F2" w:themeFill="background1" w:themeFillShade="F2"/>
          </w:tcPr>
          <w:p w14:paraId="11E57A6A" w14:textId="77777777" w:rsidR="00034C5E" w:rsidRDefault="00034C5E" w:rsidP="002D1E23">
            <w:pPr>
              <w:rPr>
                <w:rFonts w:ascii="Arial" w:hAnsi="Arial" w:cs="Arial"/>
                <w:i/>
                <w:sz w:val="18"/>
                <w:szCs w:val="18"/>
                <w:highlight w:val="lightGray"/>
              </w:rPr>
            </w:pPr>
          </w:p>
          <w:p w14:paraId="2B95DD1F" w14:textId="77777777" w:rsidR="00034C5E" w:rsidRDefault="00034C5E" w:rsidP="00034C5E">
            <w:pPr>
              <w:pStyle w:val="Table-Entry"/>
              <w:numPr>
                <w:ilvl w:val="0"/>
                <w:numId w:val="12"/>
              </w:numPr>
              <w:rPr>
                <w:rFonts w:ascii="Verdana" w:hAnsi="Verdana"/>
                <w:color w:val="auto"/>
              </w:rPr>
            </w:pPr>
            <w:r>
              <w:rPr>
                <w:rFonts w:ascii="Verdana" w:hAnsi="Verdana"/>
                <w:color w:val="auto"/>
              </w:rPr>
              <w:t>u</w:t>
            </w:r>
            <w:r w:rsidRPr="005736E0">
              <w:rPr>
                <w:rFonts w:ascii="Verdana" w:hAnsi="Verdana"/>
                <w:color w:val="auto"/>
              </w:rPr>
              <w:t>sing the Student Attitude to School Su</w:t>
            </w:r>
            <w:r>
              <w:rPr>
                <w:rFonts w:ascii="Verdana" w:hAnsi="Verdana"/>
                <w:color w:val="auto"/>
              </w:rPr>
              <w:t>rvey (ATSS) improve all factors</w:t>
            </w:r>
            <w:r w:rsidRPr="005736E0">
              <w:rPr>
                <w:rFonts w:ascii="Verdana" w:hAnsi="Verdana"/>
                <w:color w:val="auto"/>
              </w:rPr>
              <w:t xml:space="preserve"> within Student Relationships and Wellbeing </w:t>
            </w:r>
            <w:r>
              <w:rPr>
                <w:rFonts w:ascii="Verdana" w:hAnsi="Verdana"/>
                <w:color w:val="auto"/>
              </w:rPr>
              <w:t>to be within the fourth quartile</w:t>
            </w:r>
          </w:p>
          <w:p w14:paraId="2F50B2F9" w14:textId="77777777" w:rsidR="00034C5E" w:rsidRDefault="00034C5E" w:rsidP="00034C5E">
            <w:pPr>
              <w:pStyle w:val="Table-Entry"/>
              <w:rPr>
                <w:rFonts w:ascii="Verdana" w:hAnsi="Verdana"/>
                <w:color w:val="auto"/>
              </w:rPr>
            </w:pPr>
          </w:p>
          <w:p w14:paraId="45EEC396" w14:textId="77777777" w:rsidR="00034C5E" w:rsidRDefault="00034C5E" w:rsidP="00034C5E">
            <w:pPr>
              <w:pStyle w:val="Table-Entry"/>
              <w:numPr>
                <w:ilvl w:val="0"/>
                <w:numId w:val="12"/>
              </w:numPr>
              <w:rPr>
                <w:rFonts w:ascii="Verdana" w:hAnsi="Verdana"/>
                <w:color w:val="auto"/>
              </w:rPr>
            </w:pPr>
            <w:r>
              <w:rPr>
                <w:rFonts w:ascii="Verdana" w:hAnsi="Verdana"/>
                <w:color w:val="auto"/>
              </w:rPr>
              <w:t>decrease student absence level as follows:</w:t>
            </w:r>
          </w:p>
          <w:p w14:paraId="73D2361E" w14:textId="77777777" w:rsidR="00034C5E" w:rsidRDefault="00034C5E" w:rsidP="00034C5E">
            <w:pPr>
              <w:pStyle w:val="Table-Entry"/>
              <w:rPr>
                <w:rFonts w:ascii="Verdana" w:hAnsi="Verdana"/>
                <w:color w:val="auto"/>
              </w:rPr>
            </w:pPr>
          </w:p>
          <w:tbl>
            <w:tblPr>
              <w:tblStyle w:val="TableGrid"/>
              <w:tblW w:w="0" w:type="auto"/>
              <w:tblLook w:val="04A0" w:firstRow="1" w:lastRow="0" w:firstColumn="1" w:lastColumn="0" w:noHBand="0" w:noVBand="1"/>
            </w:tblPr>
            <w:tblGrid>
              <w:gridCol w:w="1076"/>
              <w:gridCol w:w="1076"/>
              <w:gridCol w:w="1076"/>
              <w:gridCol w:w="1077"/>
            </w:tblGrid>
            <w:tr w:rsidR="00034C5E" w14:paraId="2D012ED1" w14:textId="77777777" w:rsidTr="00B54E24">
              <w:tc>
                <w:tcPr>
                  <w:tcW w:w="1076" w:type="dxa"/>
                </w:tcPr>
                <w:p w14:paraId="62731AED" w14:textId="77777777" w:rsidR="00034C5E" w:rsidRDefault="00034C5E" w:rsidP="00034C5E">
                  <w:pPr>
                    <w:pStyle w:val="Table-Entry"/>
                    <w:rPr>
                      <w:rFonts w:ascii="Verdana" w:hAnsi="Verdana"/>
                      <w:color w:val="auto"/>
                    </w:rPr>
                  </w:pPr>
                </w:p>
              </w:tc>
              <w:tc>
                <w:tcPr>
                  <w:tcW w:w="1076" w:type="dxa"/>
                </w:tcPr>
                <w:p w14:paraId="74DCE404" w14:textId="77777777" w:rsidR="00034C5E" w:rsidRDefault="00034C5E" w:rsidP="00034C5E">
                  <w:pPr>
                    <w:pStyle w:val="Table-Entry"/>
                    <w:jc w:val="center"/>
                    <w:rPr>
                      <w:rFonts w:ascii="Verdana" w:hAnsi="Verdana"/>
                      <w:color w:val="auto"/>
                    </w:rPr>
                  </w:pPr>
                  <w:r>
                    <w:rPr>
                      <w:rFonts w:ascii="Verdana" w:hAnsi="Verdana"/>
                      <w:color w:val="auto"/>
                    </w:rPr>
                    <w:t>Target</w:t>
                  </w:r>
                </w:p>
                <w:p w14:paraId="59245933" w14:textId="77777777" w:rsidR="00034C5E" w:rsidRDefault="00034C5E" w:rsidP="00034C5E">
                  <w:pPr>
                    <w:pStyle w:val="Table-Entry"/>
                    <w:jc w:val="center"/>
                    <w:rPr>
                      <w:rFonts w:ascii="Verdana" w:hAnsi="Verdana"/>
                      <w:color w:val="auto"/>
                    </w:rPr>
                  </w:pPr>
                  <w:r>
                    <w:rPr>
                      <w:rFonts w:ascii="Verdana" w:hAnsi="Verdana"/>
                      <w:color w:val="auto"/>
                    </w:rPr>
                    <w:t>Days per child</w:t>
                  </w:r>
                </w:p>
              </w:tc>
              <w:tc>
                <w:tcPr>
                  <w:tcW w:w="1076" w:type="dxa"/>
                </w:tcPr>
                <w:p w14:paraId="627EDB28" w14:textId="77777777" w:rsidR="00034C5E" w:rsidRDefault="00034C5E" w:rsidP="00034C5E">
                  <w:pPr>
                    <w:pStyle w:val="Table-Entry"/>
                    <w:jc w:val="center"/>
                    <w:rPr>
                      <w:rFonts w:ascii="Verdana" w:hAnsi="Verdana"/>
                      <w:color w:val="auto"/>
                    </w:rPr>
                  </w:pPr>
                  <w:r>
                    <w:rPr>
                      <w:rFonts w:ascii="Verdana" w:hAnsi="Verdana"/>
                      <w:color w:val="auto"/>
                    </w:rPr>
                    <w:t>School Mean</w:t>
                  </w:r>
                </w:p>
                <w:p w14:paraId="37AA815F" w14:textId="73DCA878" w:rsidR="00034C5E" w:rsidRDefault="00034C5E" w:rsidP="00034C5E">
                  <w:pPr>
                    <w:pStyle w:val="Table-Entry"/>
                    <w:jc w:val="center"/>
                    <w:rPr>
                      <w:rFonts w:ascii="Verdana" w:hAnsi="Verdana"/>
                      <w:color w:val="auto"/>
                    </w:rPr>
                  </w:pPr>
                  <w:r>
                    <w:rPr>
                      <w:rFonts w:ascii="Verdana" w:hAnsi="Verdana"/>
                      <w:color w:val="auto"/>
                    </w:rPr>
                    <w:t>2013</w:t>
                  </w:r>
                  <w:r w:rsidR="0048208C">
                    <w:rPr>
                      <w:rFonts w:ascii="Verdana" w:hAnsi="Verdana"/>
                      <w:color w:val="auto"/>
                    </w:rPr>
                    <w:t>–</w:t>
                  </w:r>
                  <w:r>
                    <w:rPr>
                      <w:rFonts w:ascii="Verdana" w:hAnsi="Verdana"/>
                      <w:color w:val="auto"/>
                    </w:rPr>
                    <w:t>15</w:t>
                  </w:r>
                </w:p>
              </w:tc>
              <w:tc>
                <w:tcPr>
                  <w:tcW w:w="1077" w:type="dxa"/>
                </w:tcPr>
                <w:p w14:paraId="2331EC4F" w14:textId="77777777" w:rsidR="00034C5E" w:rsidRDefault="00034C5E" w:rsidP="00034C5E">
                  <w:pPr>
                    <w:pStyle w:val="Table-Entry"/>
                    <w:jc w:val="center"/>
                    <w:rPr>
                      <w:rFonts w:ascii="Verdana" w:hAnsi="Verdana"/>
                      <w:color w:val="auto"/>
                    </w:rPr>
                  </w:pPr>
                  <w:r>
                    <w:rPr>
                      <w:rFonts w:ascii="Verdana" w:hAnsi="Verdana"/>
                      <w:color w:val="auto"/>
                    </w:rPr>
                    <w:t>State Mean</w:t>
                  </w:r>
                </w:p>
                <w:p w14:paraId="4D436186" w14:textId="77777777" w:rsidR="00034C5E" w:rsidRDefault="00034C5E" w:rsidP="00034C5E">
                  <w:pPr>
                    <w:pStyle w:val="Table-Entry"/>
                    <w:jc w:val="center"/>
                    <w:rPr>
                      <w:rFonts w:ascii="Verdana" w:hAnsi="Verdana"/>
                      <w:color w:val="auto"/>
                    </w:rPr>
                  </w:pPr>
                  <w:r>
                    <w:rPr>
                      <w:rFonts w:ascii="Verdana" w:hAnsi="Verdana"/>
                      <w:color w:val="auto"/>
                    </w:rPr>
                    <w:t>2015</w:t>
                  </w:r>
                </w:p>
              </w:tc>
            </w:tr>
            <w:tr w:rsidR="00034C5E" w14:paraId="2E606B05" w14:textId="77777777" w:rsidTr="00B54E24">
              <w:tc>
                <w:tcPr>
                  <w:tcW w:w="1076" w:type="dxa"/>
                </w:tcPr>
                <w:p w14:paraId="216DD94D" w14:textId="77777777" w:rsidR="00034C5E" w:rsidRDefault="00034C5E" w:rsidP="00034C5E">
                  <w:pPr>
                    <w:pStyle w:val="Table-Entry"/>
                    <w:rPr>
                      <w:rFonts w:ascii="Verdana" w:hAnsi="Verdana"/>
                      <w:color w:val="auto"/>
                    </w:rPr>
                  </w:pPr>
                  <w:r>
                    <w:rPr>
                      <w:rFonts w:ascii="Verdana" w:hAnsi="Verdana"/>
                      <w:color w:val="auto"/>
                    </w:rPr>
                    <w:t>Student Absence</w:t>
                  </w:r>
                </w:p>
              </w:tc>
              <w:tc>
                <w:tcPr>
                  <w:tcW w:w="1076" w:type="dxa"/>
                </w:tcPr>
                <w:p w14:paraId="0E361C7E" w14:textId="77777777" w:rsidR="00034C5E" w:rsidRDefault="00034C5E" w:rsidP="00034C5E">
                  <w:pPr>
                    <w:pStyle w:val="Table-Entry"/>
                    <w:jc w:val="center"/>
                    <w:rPr>
                      <w:rFonts w:ascii="Verdana" w:hAnsi="Verdana"/>
                      <w:color w:val="auto"/>
                    </w:rPr>
                  </w:pPr>
                  <w:r>
                    <w:rPr>
                      <w:rFonts w:ascii="Verdana" w:hAnsi="Verdana"/>
                      <w:color w:val="auto"/>
                    </w:rPr>
                    <w:t xml:space="preserve">14.50 </w:t>
                  </w:r>
                </w:p>
              </w:tc>
              <w:tc>
                <w:tcPr>
                  <w:tcW w:w="1076" w:type="dxa"/>
                </w:tcPr>
                <w:p w14:paraId="4CEFC61E" w14:textId="77777777" w:rsidR="00034C5E" w:rsidRDefault="00034C5E" w:rsidP="00034C5E">
                  <w:pPr>
                    <w:pStyle w:val="Table-Entry"/>
                    <w:jc w:val="center"/>
                    <w:rPr>
                      <w:rFonts w:ascii="Verdana" w:hAnsi="Verdana"/>
                      <w:color w:val="auto"/>
                    </w:rPr>
                  </w:pPr>
                  <w:r>
                    <w:rPr>
                      <w:rFonts w:ascii="Verdana" w:hAnsi="Verdana"/>
                      <w:color w:val="auto"/>
                    </w:rPr>
                    <w:t>15.63</w:t>
                  </w:r>
                </w:p>
              </w:tc>
              <w:tc>
                <w:tcPr>
                  <w:tcW w:w="1077" w:type="dxa"/>
                </w:tcPr>
                <w:p w14:paraId="25905D85" w14:textId="77777777" w:rsidR="00034C5E" w:rsidRDefault="00034C5E" w:rsidP="00034C5E">
                  <w:pPr>
                    <w:pStyle w:val="Table-Entry"/>
                    <w:jc w:val="center"/>
                    <w:rPr>
                      <w:rFonts w:ascii="Verdana" w:hAnsi="Verdana"/>
                      <w:color w:val="auto"/>
                    </w:rPr>
                  </w:pPr>
                  <w:r>
                    <w:rPr>
                      <w:rFonts w:ascii="Verdana" w:hAnsi="Verdana"/>
                      <w:color w:val="auto"/>
                    </w:rPr>
                    <w:t>14.66</w:t>
                  </w:r>
                </w:p>
              </w:tc>
            </w:tr>
          </w:tbl>
          <w:p w14:paraId="67F30683" w14:textId="4962F7E2" w:rsidR="00034C5E" w:rsidRPr="00EF2E59" w:rsidRDefault="00034C5E" w:rsidP="002D1E23">
            <w:pPr>
              <w:rPr>
                <w:rFonts w:ascii="Arial" w:hAnsi="Arial" w:cs="Arial"/>
                <w:sz w:val="18"/>
                <w:szCs w:val="18"/>
                <w:highlight w:val="lightGray"/>
              </w:rPr>
            </w:pPr>
          </w:p>
        </w:tc>
      </w:tr>
    </w:tbl>
    <w:p w14:paraId="49995CCD" w14:textId="7C1336D4" w:rsidR="005D1881" w:rsidRPr="00E23FC3" w:rsidRDefault="005D1881" w:rsidP="00665F3B">
      <w:pPr>
        <w:tabs>
          <w:tab w:val="left" w:pos="1875"/>
        </w:tabs>
      </w:pPr>
    </w:p>
    <w:sectPr w:rsidR="005D1881" w:rsidRPr="00E23FC3" w:rsidSect="00CC615B">
      <w:headerReference w:type="even" r:id="rId12"/>
      <w:headerReference w:type="default" r:id="rId13"/>
      <w:footerReference w:type="even" r:id="rId14"/>
      <w:footerReference w:type="default" r:id="rId15"/>
      <w:headerReference w:type="first" r:id="rId16"/>
      <w:footerReference w:type="first" r:id="rId17"/>
      <w:pgSz w:w="23814" w:h="16839" w:orient="landscape" w:code="8"/>
      <w:pgMar w:top="993" w:right="1440" w:bottom="1440" w:left="1440" w:header="708" w:footer="708" w:gutter="0"/>
      <w:cols w:space="8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3FB7" w14:textId="77777777" w:rsidR="00C148ED" w:rsidRDefault="00C148ED" w:rsidP="00974440">
      <w:r>
        <w:separator/>
      </w:r>
    </w:p>
  </w:endnote>
  <w:endnote w:type="continuationSeparator" w:id="0">
    <w:p w14:paraId="0B4EB1C7" w14:textId="77777777" w:rsidR="00C148ED" w:rsidRDefault="00C148ED" w:rsidP="0097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FD9F" w14:textId="77777777" w:rsidR="00EC3712" w:rsidRDefault="00EC3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5D34" w14:textId="0E3533D8" w:rsidR="00974440" w:rsidRDefault="009872A9" w:rsidP="00FD51B4">
    <w:pPr>
      <w:pStyle w:val="Footer"/>
      <w:tabs>
        <w:tab w:val="clear" w:pos="9026"/>
        <w:tab w:val="right" w:pos="12616"/>
      </w:tabs>
    </w:pPr>
    <w:r>
      <w:rPr>
        <w:noProof/>
        <w:lang w:eastAsia="en-AU"/>
      </w:rPr>
      <w:drawing>
        <wp:anchor distT="0" distB="0" distL="114300" distR="114300" simplePos="0" relativeHeight="251656192" behindDoc="1" locked="0" layoutInCell="1" allowOverlap="1" wp14:anchorId="49995D35" wp14:editId="6E55FEEB">
          <wp:simplePos x="0" y="0"/>
          <wp:positionH relativeFrom="column">
            <wp:posOffset>12551410</wp:posOffset>
          </wp:positionH>
          <wp:positionV relativeFrom="paragraph">
            <wp:posOffset>-304800</wp:posOffset>
          </wp:positionV>
          <wp:extent cx="1314450" cy="734695"/>
          <wp:effectExtent l="0" t="0" r="0" b="8255"/>
          <wp:wrapThrough wrapText="bothSides">
            <wp:wrapPolygon edited="0">
              <wp:start x="0" y="0"/>
              <wp:lineTo x="0" y="21283"/>
              <wp:lineTo x="21287" y="21283"/>
              <wp:lineTo x="21287" y="0"/>
              <wp:lineTo x="0" y="0"/>
            </wp:wrapPolygon>
          </wp:wrapThrough>
          <wp:docPr id="19" name="Picture 19" descr="C:\Users\08723594\AppData\Local\Microsoft\Windows\Temporary Internet Files\Content.Outlook\IAL3SQCQ\stagegov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8723594\AppData\Local\Microsoft\Windows\Temporary Internet Files\Content.Outlook\IAL3SQCQ\stagegov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469C">
      <w:rPr>
        <w:noProof/>
        <w:lang w:eastAsia="en-AU"/>
      </w:rPr>
      <mc:AlternateContent>
        <mc:Choice Requires="wps">
          <w:drawing>
            <wp:anchor distT="45720" distB="45720" distL="114300" distR="114300" simplePos="0" relativeHeight="251658240" behindDoc="1" locked="0" layoutInCell="1" allowOverlap="1" wp14:anchorId="4B319253" wp14:editId="7609E50E">
              <wp:simplePos x="0" y="0"/>
              <wp:positionH relativeFrom="column">
                <wp:posOffset>622300</wp:posOffset>
              </wp:positionH>
              <wp:positionV relativeFrom="paragraph">
                <wp:posOffset>17145</wp:posOffset>
              </wp:positionV>
              <wp:extent cx="3194050" cy="3289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328930"/>
                      </a:xfrm>
                      <a:prstGeom prst="rect">
                        <a:avLst/>
                      </a:prstGeom>
                      <a:solidFill>
                        <a:srgbClr val="FFFFFF"/>
                      </a:solidFill>
                      <a:ln w="9525">
                        <a:noFill/>
                        <a:miter lim="800000"/>
                        <a:headEnd/>
                        <a:tailEnd/>
                      </a:ln>
                    </wps:spPr>
                    <wps:txbx>
                      <w:txbxContent>
                        <w:p w14:paraId="0B8A5589" w14:textId="77777777" w:rsidR="000A469C" w:rsidRPr="000A469C" w:rsidRDefault="000A469C" w:rsidP="000A469C">
                          <w:pPr>
                            <w:rPr>
                              <w:color w:val="9BBB59" w:themeColor="accent3"/>
                              <w:sz w:val="24"/>
                              <w:szCs w:val="16"/>
                            </w:rPr>
                          </w:pPr>
                          <w:r w:rsidRPr="000A469C">
                            <w:rPr>
                              <w:color w:val="9BBB59" w:themeColor="accent3"/>
                              <w:sz w:val="24"/>
                              <w:szCs w:val="16"/>
                            </w:rPr>
                            <w:t>Framework for Improving Student Outcomes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319253" id="_x0000_t202" coordsize="21600,21600" o:spt="202" path="m,l,21600r21600,l21600,xe">
              <v:stroke joinstyle="miter"/>
              <v:path gradientshapeok="t" o:connecttype="rect"/>
            </v:shapetype>
            <v:shape id="Text Box 2" o:spid="_x0000_s1026" type="#_x0000_t202" style="position:absolute;margin-left:49pt;margin-top:1.35pt;width:251.5pt;height:25.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IAIAAB0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" stroked="f">
              <v:textbox style="mso-fit-shape-to-text:t">
                <w:txbxContent>
                  <w:p w14:paraId="0B8A5589" w14:textId="77777777" w:rsidR="000A469C" w:rsidRPr="000A469C" w:rsidRDefault="000A469C" w:rsidP="000A469C">
                    <w:pPr>
                      <w:rPr>
                        <w:color w:val="9BBB59" w:themeColor="accent3"/>
                        <w:sz w:val="24"/>
                        <w:szCs w:val="16"/>
                      </w:rPr>
                    </w:pPr>
                    <w:r w:rsidRPr="000A469C">
                      <w:rPr>
                        <w:color w:val="9BBB59" w:themeColor="accent3"/>
                        <w:sz w:val="24"/>
                        <w:szCs w:val="16"/>
                      </w:rPr>
                      <w:t>Framework for Improving Student Outcomes</w:t>
                    </w:r>
                  </w:p>
                </w:txbxContent>
              </v:textbox>
            </v:shape>
          </w:pict>
        </mc:Fallback>
      </mc:AlternateContent>
    </w:r>
    <w:r w:rsidRPr="000A469C">
      <w:rPr>
        <w:noProof/>
        <w:lang w:eastAsia="en-AU"/>
      </w:rPr>
      <w:drawing>
        <wp:anchor distT="0" distB="0" distL="114300" distR="114300" simplePos="0" relativeHeight="251657216" behindDoc="1" locked="0" layoutInCell="1" allowOverlap="1" wp14:anchorId="01F62896" wp14:editId="2A129CD8">
          <wp:simplePos x="0" y="0"/>
          <wp:positionH relativeFrom="column">
            <wp:posOffset>-450215</wp:posOffset>
          </wp:positionH>
          <wp:positionV relativeFrom="paragraph">
            <wp:posOffset>-659130</wp:posOffset>
          </wp:positionV>
          <wp:extent cx="996950" cy="995680"/>
          <wp:effectExtent l="0" t="0" r="0" b="0"/>
          <wp:wrapNone/>
          <wp:docPr id="23" name="Picture 23" descr="D:\Users\09026298\Desktop\mod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09026298\Desktop\model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95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F7D">
      <w:tab/>
    </w:r>
    <w:r w:rsidR="00356F7D">
      <w:tab/>
    </w:r>
    <w:r>
      <w:t>Published:</w:t>
    </w:r>
    <w:r w:rsidR="00356F7D">
      <w:t xml:space="preserve"> Feb</w:t>
    </w:r>
    <w:r w:rsidR="000A15F3">
      <w:t>ruary</w:t>
    </w:r>
    <w:r w:rsidR="00356F7D">
      <w:t xml:space="preserve">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3223" w14:textId="77777777" w:rsidR="00EC3712" w:rsidRDefault="00EC3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0D7A" w14:textId="77777777" w:rsidR="00C148ED" w:rsidRDefault="00C148ED" w:rsidP="00974440">
      <w:r>
        <w:separator/>
      </w:r>
    </w:p>
  </w:footnote>
  <w:footnote w:type="continuationSeparator" w:id="0">
    <w:p w14:paraId="3212DDF1" w14:textId="77777777" w:rsidR="00C148ED" w:rsidRDefault="00C148ED" w:rsidP="0097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E6CC" w14:textId="77777777" w:rsidR="00EC3712" w:rsidRDefault="00EC3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168" w14:textId="2981915B" w:rsidR="004725D1" w:rsidRDefault="00472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417A" w14:textId="77777777" w:rsidR="00EC3712" w:rsidRDefault="00EC3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3AFD"/>
    <w:multiLevelType w:val="hybridMultilevel"/>
    <w:tmpl w:val="721AC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4C6116"/>
    <w:multiLevelType w:val="hybridMultilevel"/>
    <w:tmpl w:val="8D403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9C173A"/>
    <w:multiLevelType w:val="hybridMultilevel"/>
    <w:tmpl w:val="751E8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3B76EF"/>
    <w:multiLevelType w:val="hybridMultilevel"/>
    <w:tmpl w:val="EC24D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B21440"/>
    <w:multiLevelType w:val="hybridMultilevel"/>
    <w:tmpl w:val="080E4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BF6441"/>
    <w:multiLevelType w:val="hybridMultilevel"/>
    <w:tmpl w:val="43DCD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625AF7"/>
    <w:multiLevelType w:val="hybridMultilevel"/>
    <w:tmpl w:val="EE5A8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A25EAB"/>
    <w:multiLevelType w:val="hybridMultilevel"/>
    <w:tmpl w:val="280A5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F11321"/>
    <w:multiLevelType w:val="hybridMultilevel"/>
    <w:tmpl w:val="1DD02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667C1D"/>
    <w:multiLevelType w:val="hybridMultilevel"/>
    <w:tmpl w:val="622CD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15530B"/>
    <w:multiLevelType w:val="hybridMultilevel"/>
    <w:tmpl w:val="1262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9C1A4B"/>
    <w:multiLevelType w:val="hybridMultilevel"/>
    <w:tmpl w:val="B2ACD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760D74"/>
    <w:multiLevelType w:val="hybridMultilevel"/>
    <w:tmpl w:val="848C9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8422176">
    <w:abstractNumId w:val="2"/>
  </w:num>
  <w:num w:numId="2" w16cid:durableId="1602447101">
    <w:abstractNumId w:val="4"/>
  </w:num>
  <w:num w:numId="3" w16cid:durableId="2064134435">
    <w:abstractNumId w:val="12"/>
  </w:num>
  <w:num w:numId="4" w16cid:durableId="1809087618">
    <w:abstractNumId w:val="8"/>
  </w:num>
  <w:num w:numId="5" w16cid:durableId="625502083">
    <w:abstractNumId w:val="1"/>
  </w:num>
  <w:num w:numId="6" w16cid:durableId="780342447">
    <w:abstractNumId w:val="10"/>
  </w:num>
  <w:num w:numId="7" w16cid:durableId="1906531633">
    <w:abstractNumId w:val="11"/>
  </w:num>
  <w:num w:numId="8" w16cid:durableId="532959944">
    <w:abstractNumId w:val="0"/>
  </w:num>
  <w:num w:numId="9" w16cid:durableId="569659490">
    <w:abstractNumId w:val="6"/>
  </w:num>
  <w:num w:numId="10" w16cid:durableId="1057973670">
    <w:abstractNumId w:val="5"/>
  </w:num>
  <w:num w:numId="11" w16cid:durableId="1750080695">
    <w:abstractNumId w:val="3"/>
  </w:num>
  <w:num w:numId="12" w16cid:durableId="1478842528">
    <w:abstractNumId w:val="9"/>
  </w:num>
  <w:num w:numId="13" w16cid:durableId="1760423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45"/>
    <w:rsid w:val="0001290E"/>
    <w:rsid w:val="0001550E"/>
    <w:rsid w:val="000159DE"/>
    <w:rsid w:val="00024F96"/>
    <w:rsid w:val="00034C5E"/>
    <w:rsid w:val="00034FBE"/>
    <w:rsid w:val="000366F3"/>
    <w:rsid w:val="000471C8"/>
    <w:rsid w:val="00051AFD"/>
    <w:rsid w:val="00055235"/>
    <w:rsid w:val="00067488"/>
    <w:rsid w:val="000925E5"/>
    <w:rsid w:val="000940D9"/>
    <w:rsid w:val="00095FB8"/>
    <w:rsid w:val="000A137C"/>
    <w:rsid w:val="000A15F3"/>
    <w:rsid w:val="000A469C"/>
    <w:rsid w:val="000C1E63"/>
    <w:rsid w:val="000C2706"/>
    <w:rsid w:val="000D6F17"/>
    <w:rsid w:val="001148BF"/>
    <w:rsid w:val="0012431D"/>
    <w:rsid w:val="00132013"/>
    <w:rsid w:val="00152B71"/>
    <w:rsid w:val="00163A2D"/>
    <w:rsid w:val="00171598"/>
    <w:rsid w:val="00175AFF"/>
    <w:rsid w:val="00181AE8"/>
    <w:rsid w:val="00184C33"/>
    <w:rsid w:val="00194246"/>
    <w:rsid w:val="001B0535"/>
    <w:rsid w:val="001B3CE1"/>
    <w:rsid w:val="001C1C92"/>
    <w:rsid w:val="001F7B2C"/>
    <w:rsid w:val="00212B6C"/>
    <w:rsid w:val="00245C64"/>
    <w:rsid w:val="00274510"/>
    <w:rsid w:val="0028528F"/>
    <w:rsid w:val="002A4359"/>
    <w:rsid w:val="002A52B0"/>
    <w:rsid w:val="002A6E77"/>
    <w:rsid w:val="002B14ED"/>
    <w:rsid w:val="002D1E23"/>
    <w:rsid w:val="002E40D7"/>
    <w:rsid w:val="00300E45"/>
    <w:rsid w:val="00322898"/>
    <w:rsid w:val="003239B9"/>
    <w:rsid w:val="00327AE1"/>
    <w:rsid w:val="00344C6B"/>
    <w:rsid w:val="00353CA5"/>
    <w:rsid w:val="00356F7D"/>
    <w:rsid w:val="00367C8D"/>
    <w:rsid w:val="00387A1A"/>
    <w:rsid w:val="00397465"/>
    <w:rsid w:val="003A67F0"/>
    <w:rsid w:val="003A73ED"/>
    <w:rsid w:val="003B4C29"/>
    <w:rsid w:val="003C41CD"/>
    <w:rsid w:val="003D3F40"/>
    <w:rsid w:val="003D5475"/>
    <w:rsid w:val="003E6DD0"/>
    <w:rsid w:val="0042491D"/>
    <w:rsid w:val="004568F8"/>
    <w:rsid w:val="004579EC"/>
    <w:rsid w:val="0046256B"/>
    <w:rsid w:val="004725D1"/>
    <w:rsid w:val="0047280E"/>
    <w:rsid w:val="00474AD3"/>
    <w:rsid w:val="0048208C"/>
    <w:rsid w:val="004B5DD7"/>
    <w:rsid w:val="004C044E"/>
    <w:rsid w:val="004E7450"/>
    <w:rsid w:val="00516CC7"/>
    <w:rsid w:val="00520115"/>
    <w:rsid w:val="00542AB9"/>
    <w:rsid w:val="0054608F"/>
    <w:rsid w:val="0055736E"/>
    <w:rsid w:val="00572122"/>
    <w:rsid w:val="00574200"/>
    <w:rsid w:val="00582A13"/>
    <w:rsid w:val="005847DF"/>
    <w:rsid w:val="005A61C0"/>
    <w:rsid w:val="005A6C8C"/>
    <w:rsid w:val="005B0635"/>
    <w:rsid w:val="005C1E23"/>
    <w:rsid w:val="005D1881"/>
    <w:rsid w:val="005E6A1C"/>
    <w:rsid w:val="005F2D03"/>
    <w:rsid w:val="005F7189"/>
    <w:rsid w:val="00624C9C"/>
    <w:rsid w:val="00632BFE"/>
    <w:rsid w:val="006569E2"/>
    <w:rsid w:val="00665F3B"/>
    <w:rsid w:val="00677D87"/>
    <w:rsid w:val="006935E6"/>
    <w:rsid w:val="006B3AF2"/>
    <w:rsid w:val="006E095A"/>
    <w:rsid w:val="006E69E4"/>
    <w:rsid w:val="006F5C37"/>
    <w:rsid w:val="00705F28"/>
    <w:rsid w:val="00707695"/>
    <w:rsid w:val="007140C8"/>
    <w:rsid w:val="00717F96"/>
    <w:rsid w:val="00722CB1"/>
    <w:rsid w:val="007274A1"/>
    <w:rsid w:val="007316E4"/>
    <w:rsid w:val="00735A4B"/>
    <w:rsid w:val="00736109"/>
    <w:rsid w:val="0073764E"/>
    <w:rsid w:val="007559DF"/>
    <w:rsid w:val="007630A0"/>
    <w:rsid w:val="007656C7"/>
    <w:rsid w:val="00770280"/>
    <w:rsid w:val="00773BA5"/>
    <w:rsid w:val="00792BED"/>
    <w:rsid w:val="0080062C"/>
    <w:rsid w:val="00806298"/>
    <w:rsid w:val="008138B6"/>
    <w:rsid w:val="00844EAB"/>
    <w:rsid w:val="00854601"/>
    <w:rsid w:val="00860586"/>
    <w:rsid w:val="008A0D71"/>
    <w:rsid w:val="008A7EAA"/>
    <w:rsid w:val="008C0562"/>
    <w:rsid w:val="008E4759"/>
    <w:rsid w:val="009024E2"/>
    <w:rsid w:val="00907788"/>
    <w:rsid w:val="00910881"/>
    <w:rsid w:val="009114B9"/>
    <w:rsid w:val="00974440"/>
    <w:rsid w:val="009872A9"/>
    <w:rsid w:val="00994ECF"/>
    <w:rsid w:val="009A1989"/>
    <w:rsid w:val="009C1955"/>
    <w:rsid w:val="009C520A"/>
    <w:rsid w:val="009D3CDE"/>
    <w:rsid w:val="00A03DBD"/>
    <w:rsid w:val="00A25122"/>
    <w:rsid w:val="00A45C3C"/>
    <w:rsid w:val="00A83E3E"/>
    <w:rsid w:val="00A9459E"/>
    <w:rsid w:val="00A9733C"/>
    <w:rsid w:val="00AC222C"/>
    <w:rsid w:val="00AC3549"/>
    <w:rsid w:val="00AF045A"/>
    <w:rsid w:val="00B10F75"/>
    <w:rsid w:val="00B1702A"/>
    <w:rsid w:val="00B17C59"/>
    <w:rsid w:val="00B23E83"/>
    <w:rsid w:val="00B35B4C"/>
    <w:rsid w:val="00B44E71"/>
    <w:rsid w:val="00B85BE6"/>
    <w:rsid w:val="00BB2143"/>
    <w:rsid w:val="00BD7BFE"/>
    <w:rsid w:val="00C100E7"/>
    <w:rsid w:val="00C148ED"/>
    <w:rsid w:val="00C36A6C"/>
    <w:rsid w:val="00C46589"/>
    <w:rsid w:val="00C470C4"/>
    <w:rsid w:val="00C57A73"/>
    <w:rsid w:val="00C75C52"/>
    <w:rsid w:val="00C86282"/>
    <w:rsid w:val="00C94160"/>
    <w:rsid w:val="00CA7CF2"/>
    <w:rsid w:val="00CC615B"/>
    <w:rsid w:val="00CC76C5"/>
    <w:rsid w:val="00CD2BE2"/>
    <w:rsid w:val="00CF5ED9"/>
    <w:rsid w:val="00D0715E"/>
    <w:rsid w:val="00D50292"/>
    <w:rsid w:val="00D520CC"/>
    <w:rsid w:val="00D8689A"/>
    <w:rsid w:val="00DA0748"/>
    <w:rsid w:val="00DA6410"/>
    <w:rsid w:val="00DB3EB6"/>
    <w:rsid w:val="00DC072B"/>
    <w:rsid w:val="00DD0650"/>
    <w:rsid w:val="00DD12F8"/>
    <w:rsid w:val="00DE72CD"/>
    <w:rsid w:val="00E23A44"/>
    <w:rsid w:val="00E23FC3"/>
    <w:rsid w:val="00E257F3"/>
    <w:rsid w:val="00E52471"/>
    <w:rsid w:val="00E64561"/>
    <w:rsid w:val="00E67E9B"/>
    <w:rsid w:val="00E80939"/>
    <w:rsid w:val="00E81392"/>
    <w:rsid w:val="00E916DE"/>
    <w:rsid w:val="00EA551B"/>
    <w:rsid w:val="00EB536F"/>
    <w:rsid w:val="00EB7105"/>
    <w:rsid w:val="00EC0A26"/>
    <w:rsid w:val="00EC3712"/>
    <w:rsid w:val="00EC6193"/>
    <w:rsid w:val="00ED1251"/>
    <w:rsid w:val="00EE7142"/>
    <w:rsid w:val="00EF2E59"/>
    <w:rsid w:val="00F208D7"/>
    <w:rsid w:val="00F34E18"/>
    <w:rsid w:val="00F4144D"/>
    <w:rsid w:val="00F446EB"/>
    <w:rsid w:val="00F62007"/>
    <w:rsid w:val="00FA308C"/>
    <w:rsid w:val="00FC1E23"/>
    <w:rsid w:val="00FC3A97"/>
    <w:rsid w:val="00FC4CF3"/>
    <w:rsid w:val="00FD51B4"/>
    <w:rsid w:val="00FF4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95C9E"/>
  <w15:docId w15:val="{4502AAAA-0CA3-4B83-885A-DBD339D3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E23"/>
    <w:rPr>
      <w:color w:val="0000FF" w:themeColor="hyperlink"/>
      <w:u w:val="single"/>
    </w:rPr>
  </w:style>
  <w:style w:type="paragraph" w:styleId="BalloonText">
    <w:name w:val="Balloon Text"/>
    <w:basedOn w:val="Normal"/>
    <w:link w:val="BalloonTextChar"/>
    <w:uiPriority w:val="99"/>
    <w:semiHidden/>
    <w:unhideWhenUsed/>
    <w:rsid w:val="00FF453B"/>
    <w:rPr>
      <w:rFonts w:ascii="Tahoma" w:hAnsi="Tahoma" w:cs="Tahoma"/>
      <w:sz w:val="16"/>
      <w:szCs w:val="16"/>
    </w:rPr>
  </w:style>
  <w:style w:type="character" w:customStyle="1" w:styleId="BalloonTextChar">
    <w:name w:val="Balloon Text Char"/>
    <w:basedOn w:val="DefaultParagraphFont"/>
    <w:link w:val="BalloonText"/>
    <w:uiPriority w:val="99"/>
    <w:semiHidden/>
    <w:rsid w:val="00FF453B"/>
    <w:rPr>
      <w:rFonts w:ascii="Tahoma" w:hAnsi="Tahoma" w:cs="Tahoma"/>
      <w:sz w:val="16"/>
      <w:szCs w:val="16"/>
    </w:rPr>
  </w:style>
  <w:style w:type="paragraph" w:styleId="Header">
    <w:name w:val="header"/>
    <w:basedOn w:val="Normal"/>
    <w:link w:val="HeaderChar"/>
    <w:uiPriority w:val="99"/>
    <w:unhideWhenUsed/>
    <w:rsid w:val="00974440"/>
    <w:pPr>
      <w:tabs>
        <w:tab w:val="center" w:pos="4513"/>
        <w:tab w:val="right" w:pos="9026"/>
      </w:tabs>
    </w:pPr>
  </w:style>
  <w:style w:type="character" w:customStyle="1" w:styleId="HeaderChar">
    <w:name w:val="Header Char"/>
    <w:basedOn w:val="DefaultParagraphFont"/>
    <w:link w:val="Header"/>
    <w:uiPriority w:val="99"/>
    <w:rsid w:val="00974440"/>
  </w:style>
  <w:style w:type="paragraph" w:styleId="Footer">
    <w:name w:val="footer"/>
    <w:basedOn w:val="Normal"/>
    <w:link w:val="FooterChar"/>
    <w:uiPriority w:val="99"/>
    <w:unhideWhenUsed/>
    <w:rsid w:val="00974440"/>
    <w:pPr>
      <w:tabs>
        <w:tab w:val="center" w:pos="4513"/>
        <w:tab w:val="right" w:pos="9026"/>
      </w:tabs>
    </w:pPr>
  </w:style>
  <w:style w:type="character" w:customStyle="1" w:styleId="FooterChar">
    <w:name w:val="Footer Char"/>
    <w:basedOn w:val="DefaultParagraphFont"/>
    <w:link w:val="Footer"/>
    <w:uiPriority w:val="99"/>
    <w:rsid w:val="00974440"/>
  </w:style>
  <w:style w:type="paragraph" w:styleId="ListParagraph">
    <w:name w:val="List Paragraph"/>
    <w:basedOn w:val="Normal"/>
    <w:uiPriority w:val="34"/>
    <w:qFormat/>
    <w:rsid w:val="006F5C37"/>
    <w:pPr>
      <w:ind w:left="720"/>
      <w:contextualSpacing/>
    </w:pPr>
  </w:style>
  <w:style w:type="character" w:styleId="Strong">
    <w:name w:val="Strong"/>
    <w:basedOn w:val="DefaultParagraphFont"/>
    <w:uiPriority w:val="22"/>
    <w:qFormat/>
    <w:rsid w:val="006B3AF2"/>
    <w:rPr>
      <w:b/>
      <w:bCs/>
    </w:rPr>
  </w:style>
  <w:style w:type="paragraph" w:styleId="NormalWeb">
    <w:name w:val="Normal (Web)"/>
    <w:basedOn w:val="Normal"/>
    <w:uiPriority w:val="99"/>
    <w:semiHidden/>
    <w:unhideWhenUsed/>
    <w:rsid w:val="006B3AF2"/>
    <w:pPr>
      <w:spacing w:after="173"/>
    </w:pPr>
    <w:rPr>
      <w:rFonts w:ascii="Times New Roman" w:eastAsia="Times New Roman" w:hAnsi="Times New Roman" w:cs="Times New Roman"/>
      <w:sz w:val="24"/>
      <w:szCs w:val="24"/>
      <w:lang w:eastAsia="en-AU"/>
    </w:rPr>
  </w:style>
  <w:style w:type="paragraph" w:customStyle="1" w:styleId="Table-Entry">
    <w:name w:val="Table - Entry"/>
    <w:basedOn w:val="Normal"/>
    <w:rsid w:val="002D1E23"/>
    <w:pPr>
      <w:widowControl w:val="0"/>
      <w:tabs>
        <w:tab w:val="left" w:pos="205"/>
      </w:tabs>
      <w:autoSpaceDE w:val="0"/>
      <w:autoSpaceDN w:val="0"/>
      <w:adjustRightInd w:val="0"/>
    </w:pPr>
    <w:rPr>
      <w:rFonts w:ascii="Arial" w:eastAsia="Times New Roman" w:hAnsi="Arial" w:cs="Arial"/>
      <w:color w:val="737277"/>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9496">
      <w:bodyDiv w:val="1"/>
      <w:marLeft w:val="0"/>
      <w:marRight w:val="0"/>
      <w:marTop w:val="0"/>
      <w:marBottom w:val="0"/>
      <w:divBdr>
        <w:top w:val="none" w:sz="0" w:space="0" w:color="auto"/>
        <w:left w:val="none" w:sz="0" w:space="0" w:color="auto"/>
        <w:bottom w:val="none" w:sz="0" w:space="0" w:color="auto"/>
        <w:right w:val="none" w:sz="0" w:space="0" w:color="auto"/>
      </w:divBdr>
      <w:divsChild>
        <w:div w:id="1655840740">
          <w:marLeft w:val="0"/>
          <w:marRight w:val="0"/>
          <w:marTop w:val="0"/>
          <w:marBottom w:val="0"/>
          <w:divBdr>
            <w:top w:val="none" w:sz="0" w:space="0" w:color="auto"/>
            <w:left w:val="none" w:sz="0" w:space="0" w:color="auto"/>
            <w:bottom w:val="none" w:sz="0" w:space="0" w:color="auto"/>
            <w:right w:val="none" w:sz="0" w:space="0" w:color="auto"/>
          </w:divBdr>
          <w:divsChild>
            <w:div w:id="1351955969">
              <w:marLeft w:val="0"/>
              <w:marRight w:val="0"/>
              <w:marTop w:val="0"/>
              <w:marBottom w:val="0"/>
              <w:divBdr>
                <w:top w:val="none" w:sz="0" w:space="0" w:color="auto"/>
                <w:left w:val="none" w:sz="0" w:space="0" w:color="auto"/>
                <w:bottom w:val="none" w:sz="0" w:space="0" w:color="auto"/>
                <w:right w:val="none" w:sz="0" w:space="0" w:color="auto"/>
              </w:divBdr>
              <w:divsChild>
                <w:div w:id="971861482">
                  <w:marLeft w:val="0"/>
                  <w:marRight w:val="0"/>
                  <w:marTop w:val="0"/>
                  <w:marBottom w:val="0"/>
                  <w:divBdr>
                    <w:top w:val="none" w:sz="0" w:space="0" w:color="auto"/>
                    <w:left w:val="none" w:sz="0" w:space="0" w:color="auto"/>
                    <w:bottom w:val="none" w:sz="0" w:space="0" w:color="auto"/>
                    <w:right w:val="none" w:sz="0" w:space="0" w:color="auto"/>
                  </w:divBdr>
                  <w:divsChild>
                    <w:div w:id="1171680048">
                      <w:marLeft w:val="0"/>
                      <w:marRight w:val="0"/>
                      <w:marTop w:val="0"/>
                      <w:marBottom w:val="0"/>
                      <w:divBdr>
                        <w:top w:val="none" w:sz="0" w:space="0" w:color="auto"/>
                        <w:left w:val="none" w:sz="0" w:space="0" w:color="auto"/>
                        <w:bottom w:val="none" w:sz="0" w:space="0" w:color="auto"/>
                        <w:right w:val="none" w:sz="0" w:space="0" w:color="auto"/>
                      </w:divBdr>
                      <w:divsChild>
                        <w:div w:id="1608654181">
                          <w:marLeft w:val="0"/>
                          <w:marRight w:val="0"/>
                          <w:marTop w:val="0"/>
                          <w:marBottom w:val="0"/>
                          <w:divBdr>
                            <w:top w:val="none" w:sz="0" w:space="0" w:color="auto"/>
                            <w:left w:val="none" w:sz="0" w:space="0" w:color="auto"/>
                            <w:bottom w:val="none" w:sz="0" w:space="0" w:color="auto"/>
                            <w:right w:val="none" w:sz="0" w:space="0" w:color="auto"/>
                          </w:divBdr>
                          <w:divsChild>
                            <w:div w:id="714039585">
                              <w:marLeft w:val="0"/>
                              <w:marRight w:val="0"/>
                              <w:marTop w:val="0"/>
                              <w:marBottom w:val="0"/>
                              <w:divBdr>
                                <w:top w:val="none" w:sz="0" w:space="0" w:color="auto"/>
                                <w:left w:val="none" w:sz="0" w:space="0" w:color="auto"/>
                                <w:bottom w:val="none" w:sz="0" w:space="0" w:color="auto"/>
                                <w:right w:val="none" w:sz="0" w:space="0" w:color="auto"/>
                              </w:divBdr>
                              <w:divsChild>
                                <w:div w:id="239953244">
                                  <w:marLeft w:val="0"/>
                                  <w:marRight w:val="0"/>
                                  <w:marTop w:val="0"/>
                                  <w:marBottom w:val="0"/>
                                  <w:divBdr>
                                    <w:top w:val="none" w:sz="0" w:space="0" w:color="auto"/>
                                    <w:left w:val="none" w:sz="0" w:space="0" w:color="auto"/>
                                    <w:bottom w:val="none" w:sz="0" w:space="0" w:color="auto"/>
                                    <w:right w:val="none" w:sz="0" w:space="0" w:color="auto"/>
                                  </w:divBdr>
                                  <w:divsChild>
                                    <w:div w:id="647707806">
                                      <w:marLeft w:val="0"/>
                                      <w:marRight w:val="0"/>
                                      <w:marTop w:val="0"/>
                                      <w:marBottom w:val="0"/>
                                      <w:divBdr>
                                        <w:top w:val="none" w:sz="0" w:space="0" w:color="auto"/>
                                        <w:left w:val="none" w:sz="0" w:space="0" w:color="auto"/>
                                        <w:bottom w:val="none" w:sz="0" w:space="0" w:color="auto"/>
                                        <w:right w:val="none" w:sz="0" w:space="0" w:color="auto"/>
                                      </w:divBdr>
                                      <w:divsChild>
                                        <w:div w:id="1171143835">
                                          <w:marLeft w:val="0"/>
                                          <w:marRight w:val="0"/>
                                          <w:marTop w:val="0"/>
                                          <w:marBottom w:val="0"/>
                                          <w:divBdr>
                                            <w:top w:val="none" w:sz="0" w:space="0" w:color="auto"/>
                                            <w:left w:val="none" w:sz="0" w:space="0" w:color="auto"/>
                                            <w:bottom w:val="none" w:sz="0" w:space="0" w:color="auto"/>
                                            <w:right w:val="none" w:sz="0" w:space="0" w:color="auto"/>
                                          </w:divBdr>
                                          <w:divsChild>
                                            <w:div w:id="16163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785729">
      <w:bodyDiv w:val="1"/>
      <w:marLeft w:val="0"/>
      <w:marRight w:val="0"/>
      <w:marTop w:val="0"/>
      <w:marBottom w:val="0"/>
      <w:divBdr>
        <w:top w:val="none" w:sz="0" w:space="0" w:color="auto"/>
        <w:left w:val="none" w:sz="0" w:space="0" w:color="auto"/>
        <w:bottom w:val="none" w:sz="0" w:space="0" w:color="auto"/>
        <w:right w:val="none" w:sz="0" w:space="0" w:color="auto"/>
      </w:divBdr>
    </w:div>
    <w:div w:id="18856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b18ed191-9664-4865-9546-49bc3f5dd491">
      <Value>3</Value>
    </TaxCatchAll>
    <Improvement_x0020_Cycle_x0020_Phase xmlns="2fb8e541-c96b-4620-b82c-f319e82f9fb1">
      <Value>Prioritise and set goals</Value>
    </Improvement_x0020_Cycle_x0020_Phase>
    <Improvement_x0020_Cycle_x0020_Area xmlns="d2d43896-245d-412b-9865-a0e2354e9942">
      <Value>Strategic planning</Value>
    </Improvement_x0020_Cycle_x0020_Area>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43F7C5F5C14F9340876FA4348C3A639C" ma:contentTypeVersion="10" ma:contentTypeDescription="DET Document" ma:contentTypeScope="" ma:versionID="314a941fc15459ce03d1c1a3e71d7654">
  <xsd:schema xmlns:xsd="http://www.w3.org/2001/XMLSchema" xmlns:xs="http://www.w3.org/2001/XMLSchema" xmlns:p="http://schemas.microsoft.com/office/2006/metadata/properties" xmlns:ns2="http://schemas.microsoft.com/Sharepoint/v3" xmlns:ns3="b18ed191-9664-4865-9546-49bc3f5dd491" xmlns:ns4="2fb8e541-c96b-4620-b82c-f319e82f9fb1" xmlns:ns5="d2d43896-245d-412b-9865-a0e2354e9942" xmlns:ns6="http://schemas.microsoft.com/sharepoint/v4" targetNamespace="http://schemas.microsoft.com/office/2006/metadata/properties" ma:root="true" ma:fieldsID="fadc31abd56709831055e250d02510ac" ns2:_="" ns3:_="" ns4:_="" ns5:_="" ns6:_="">
    <xsd:import namespace="http://schemas.microsoft.com/Sharepoint/v3"/>
    <xsd:import namespace="b18ed191-9664-4865-9546-49bc3f5dd491"/>
    <xsd:import namespace="2fb8e541-c96b-4620-b82c-f319e82f9fb1"/>
    <xsd:import namespace="d2d43896-245d-412b-9865-a0e2354e994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SecClassTaxHTField0" minOccurs="0"/>
                <xsd:element ref="ns2:DET_EDRMS_Description" minOccurs="0"/>
                <xsd:element ref="ns4:Improvement_x0020_Cycle_x0020_Phase" minOccurs="0"/>
                <xsd:element ref="ns5:Improvement_x0020_Cycle_x0020_Are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b8e541-c96b-4620-b82c-f319e82f9fb1" elementFormDefault="qualified">
    <xsd:import namespace="http://schemas.microsoft.com/office/2006/documentManagement/types"/>
    <xsd:import namespace="http://schemas.microsoft.com/office/infopath/2007/PartnerControls"/>
    <xsd:element name="Improvement_x0020_Cycle_x0020_Phase" ma:index="18" nillable="true" ma:displayName="Improvement Cycle Phase" ma:internalName="Improvement_x0020_Cycle_x0020_Phase">
      <xsd:complexType>
        <xsd:complexContent>
          <xsd:extension base="dms:MultiChoice">
            <xsd:sequence>
              <xsd:element name="Value" maxOccurs="unbounded" minOccurs="0" nillable="true">
                <xsd:simpleType>
                  <xsd:restriction base="dms:Choice">
                    <xsd:enumeration value="Evaluate and diagnose"/>
                    <xsd:enumeration value="Prioritise and set goals"/>
                    <xsd:enumeration value="Develop and plan"/>
                    <xsd:enumeration value="Implement and monito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d43896-245d-412b-9865-a0e2354e9942" elementFormDefault="qualified">
    <xsd:import namespace="http://schemas.microsoft.com/office/2006/documentManagement/types"/>
    <xsd:import namespace="http://schemas.microsoft.com/office/infopath/2007/PartnerControls"/>
    <xsd:element name="Improvement_x0020_Cycle_x0020_Area" ma:index="19" nillable="true" ma:displayName="Improvement Cycle Area" ma:internalName="Improvement_x0020_Cycle_x0020_Area">
      <xsd:complexType>
        <xsd:complexContent>
          <xsd:extension base="dms:MultiChoice">
            <xsd:sequence>
              <xsd:element name="Value" maxOccurs="unbounded" minOccurs="0" nillable="true">
                <xsd:simpleType>
                  <xsd:restriction base="dms:Choice">
                    <xsd:enumeration value="Self-evaluation"/>
                    <xsd:enumeration value="School reviews"/>
                    <xsd:enumeration value="Annual reporting"/>
                    <xsd:enumeration value="Strategic planning"/>
                    <xsd:enumeration value="Annual implementation plan"/>
                    <xsd:enumeration value="Improvement measur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7B6D12-B58A-4479-9E2C-BA2596EFC98A}">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b18ed191-9664-4865-9546-49bc3f5dd491"/>
    <ds:schemaRef ds:uri="2fb8e541-c96b-4620-b82c-f319e82f9fb1"/>
    <ds:schemaRef ds:uri="d2d43896-245d-412b-9865-a0e2354e9942"/>
  </ds:schemaRefs>
</ds:datastoreItem>
</file>

<file path=customXml/itemProps2.xml><?xml version="1.0" encoding="utf-8"?>
<ds:datastoreItem xmlns:ds="http://schemas.openxmlformats.org/officeDocument/2006/customXml" ds:itemID="{DA014C02-A3C6-4F85-A0A9-76ED45260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8ed191-9664-4865-9546-49bc3f5dd491"/>
    <ds:schemaRef ds:uri="2fb8e541-c96b-4620-b82c-f319e82f9fb1"/>
    <ds:schemaRef ds:uri="d2d43896-245d-412b-9865-a0e2354e994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C17618-35B7-4C77-888E-50D8F7EE5073}">
  <ds:schemaRefs>
    <ds:schemaRef ds:uri="http://schemas.microsoft.com/sharepoint/events"/>
  </ds:schemaRefs>
</ds:datastoreItem>
</file>

<file path=customXml/itemProps4.xml><?xml version="1.0" encoding="utf-8"?>
<ds:datastoreItem xmlns:ds="http://schemas.openxmlformats.org/officeDocument/2006/customXml" ds:itemID="{7B4E1ED7-953E-4EEB-B82A-0AB840890537}">
  <ds:schemaRefs>
    <ds:schemaRef ds:uri="http://schemas.openxmlformats.org/officeDocument/2006/bibliography"/>
  </ds:schemaRefs>
</ds:datastoreItem>
</file>

<file path=customXml/itemProps5.xml><?xml version="1.0" encoding="utf-8"?>
<ds:datastoreItem xmlns:ds="http://schemas.openxmlformats.org/officeDocument/2006/customXml" ds:itemID="{877F5965-2F51-4836-A798-09D616DBB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Strategic Plan Template</vt:lpstr>
    </vt:vector>
  </TitlesOfParts>
  <Company>DEECD</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Template</dc:title>
  <dc:creator>Willimott, Andrew G</dc:creator>
  <cp:lastModifiedBy>SHILO CHAN-STEWART</cp:lastModifiedBy>
  <cp:revision>2</cp:revision>
  <cp:lastPrinted>2017-04-27T01:42:00Z</cp:lastPrinted>
  <dcterms:created xsi:type="dcterms:W3CDTF">2022-11-24T01:11:00Z</dcterms:created>
  <dcterms:modified xsi:type="dcterms:W3CDTF">2022-11-24T01:11:00Z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0x010100C1A95F885C0B4A62AE4D0515D220750C0043F7C5F5C14F9340876FA4348C3A639C</vt:lpwstr>
  </property>
  <property fmtid="{D5CDD505-2E9C-101B-9397-08002B2CF9AE}" pid="3" name="DET_EDRMS_RCS">
    <vt:lpwstr>3;#1.2.2 Project Documentation|a3ce4c3c-7960-4756-834e-8cbbf9028802</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UniqueId">
    <vt:lpwstr>{9985f797-5b6f-4a3f-a10a-60eaab009035}</vt:lpwstr>
  </property>
  <property fmtid="{D5CDD505-2E9C-101B-9397-08002B2CF9AE}" pid="7" name="RecordPoint_ActiveItemWebId">
    <vt:lpwstr>{2fb8e541-c96b-4620-b82c-f319e82f9fb1}</vt:lpwstr>
  </property>
  <property fmtid="{D5CDD505-2E9C-101B-9397-08002B2CF9AE}" pid="8" name="RecordPoint_ActiveItemSiteId">
    <vt:lpwstr>{06caf94d-253e-4f56-bbf8-27ec51f6806e}</vt:lpwstr>
  </property>
  <property fmtid="{D5CDD505-2E9C-101B-9397-08002B2CF9AE}" pid="9" name="RecordPoint_ActiveItemListId">
    <vt:lpwstr>{d2d43896-245d-412b-9865-a0e2354e9942}</vt:lpwstr>
  </property>
  <property fmtid="{D5CDD505-2E9C-101B-9397-08002B2CF9AE}" pid="10" name="RecordPoint_SubmissionCompleted">
    <vt:lpwstr>2016-11-17T15:51:02.1035994+11:00</vt:lpwstr>
  </property>
  <property fmtid="{D5CDD505-2E9C-101B-9397-08002B2CF9AE}" pid="11" name="RecordPoint_RecordNumberSubmitted">
    <vt:lpwstr>R0000168146</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